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drawing>
          <wp:inline distT="0" distB="0" distL="114300" distR="114300">
            <wp:extent cx="5266690" cy="7227570"/>
            <wp:effectExtent l="0" t="0" r="10160" b="11430"/>
            <wp:docPr id="3" name="图片 3" descr="72af6562512e7cc79484890159e2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af6562512e7cc79484890159e20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5269230" cy="7795895"/>
            <wp:effectExtent l="0" t="0" r="7620" b="14605"/>
            <wp:docPr id="2" name="图片 2" descr="cba456d204d8b857ecf62f9e552f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a456d204d8b857ecf62f9e552fe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9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91BDE"/>
    <w:rsid w:val="006E6AC3"/>
    <w:rsid w:val="009A53CB"/>
    <w:rsid w:val="00AE555A"/>
    <w:rsid w:val="21991BDE"/>
    <w:rsid w:val="56EC78BC"/>
    <w:rsid w:val="640A416F"/>
    <w:rsid w:val="65A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2020-01-30T12:52:00Z</dcterms:created>
  <dc:creator>河南正坤建设工程咨询有限公司:孙青梅</dc:creator>
  <cp:lastModifiedBy>。。差不多先生。</cp:lastModifiedBy>
  <dcterms:modified xsi:type="dcterms:W3CDTF">2020-03-17T08:37:24Z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