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杞县2019年高标准农田建设项目</w:t>
      </w:r>
      <w:r>
        <w:rPr>
          <w:rFonts w:hint="eastAsia" w:ascii="宋体" w:hAnsi="宋体" w:eastAsia="宋体" w:cs="宋体"/>
          <w:b/>
          <w:bCs/>
          <w:color w:val="auto"/>
          <w:sz w:val="44"/>
          <w:szCs w:val="44"/>
          <w:lang w:eastAsia="zh-CN"/>
        </w:rPr>
        <w:t>（沙沃乡项目区）</w:t>
      </w:r>
    </w:p>
    <w:p>
      <w:pPr>
        <w:spacing w:line="480" w:lineRule="auto"/>
        <w:jc w:val="center"/>
        <w:rPr>
          <w:rFonts w:hint="eastAsia" w:ascii="宋体" w:hAnsi="宋体" w:eastAsia="等线"/>
          <w:b/>
          <w:color w:val="auto"/>
          <w:sz w:val="56"/>
          <w:szCs w:val="56"/>
          <w:lang w:eastAsia="zh-CN"/>
        </w:rPr>
      </w:pPr>
    </w:p>
    <w:p>
      <w:pPr>
        <w:spacing w:line="480" w:lineRule="auto"/>
        <w:jc w:val="center"/>
        <w:rPr>
          <w:rFonts w:hint="eastAsia" w:ascii="宋体" w:hAnsi="宋体" w:cs="宋体"/>
          <w:b/>
          <w:color w:val="auto"/>
          <w:sz w:val="44"/>
          <w:szCs w:val="44"/>
        </w:rPr>
      </w:pPr>
    </w:p>
    <w:p>
      <w:pPr>
        <w:pStyle w:val="2"/>
        <w:rPr>
          <w:rFonts w:hint="eastAsia" w:ascii="宋体" w:hAnsi="宋体" w:cs="宋体"/>
          <w:b/>
          <w:color w:val="auto"/>
          <w:sz w:val="44"/>
          <w:szCs w:val="44"/>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56"/>
          <w:szCs w:val="56"/>
          <w:lang w:eastAsia="zh-CN"/>
        </w:rPr>
      </w:pPr>
      <w:r>
        <w:rPr>
          <w:rFonts w:hint="eastAsia" w:ascii="宋体" w:hAnsi="宋体" w:cs="宋体"/>
          <w:b/>
          <w:color w:val="auto"/>
          <w:sz w:val="56"/>
          <w:szCs w:val="56"/>
          <w:lang w:eastAsia="zh-CN"/>
        </w:rPr>
        <w:t>招</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lang w:eastAsia="zh-CN"/>
        </w:rPr>
        <w:t>标</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lang w:eastAsia="zh-CN"/>
        </w:rPr>
        <w:t>文</w:t>
      </w: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lang w:eastAsia="zh-CN"/>
        </w:rPr>
        <w:t>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黑体" w:eastAsia="黑体" w:cs="????_GBK"/>
          <w:color w:val="auto"/>
          <w:sz w:val="21"/>
          <w:szCs w:val="21"/>
        </w:rPr>
      </w:pPr>
      <w:r>
        <w:rPr>
          <w:rFonts w:hint="eastAsia" w:ascii="黑体" w:eastAsia="黑体" w:cs="????_GBK"/>
          <w:color w:val="auto"/>
          <w:sz w:val="21"/>
          <w:szCs w:val="21"/>
        </w:rPr>
        <w:t>项目编号：豫财农水［201</w:t>
      </w:r>
      <w:r>
        <w:rPr>
          <w:rFonts w:hint="eastAsia" w:ascii="黑体" w:eastAsia="黑体" w:cs="????_GBK"/>
          <w:color w:val="auto"/>
          <w:sz w:val="21"/>
          <w:szCs w:val="21"/>
          <w:lang w:val="en-US" w:eastAsia="zh-CN"/>
        </w:rPr>
        <w:t>9</w:t>
      </w:r>
      <w:r>
        <w:rPr>
          <w:rFonts w:hint="eastAsia" w:ascii="黑体" w:eastAsia="黑体" w:cs="????_GBK"/>
          <w:color w:val="auto"/>
          <w:sz w:val="21"/>
          <w:szCs w:val="21"/>
        </w:rPr>
        <w:t>］26号，27号</w:t>
      </w:r>
    </w:p>
    <w:p>
      <w:pPr>
        <w:keepNext w:val="0"/>
        <w:keepLines w:val="0"/>
        <w:pageBreakBefore w:val="0"/>
        <w:widowControl w:val="0"/>
        <w:kinsoku/>
        <w:wordWrap/>
        <w:overflowPunct/>
        <w:topLinePunct w:val="0"/>
        <w:autoSpaceDE/>
        <w:autoSpaceDN/>
        <w:bidi w:val="0"/>
        <w:adjustRightInd/>
        <w:snapToGrid/>
        <w:spacing w:line="360" w:lineRule="auto"/>
        <w:ind w:firstLine="2940" w:firstLineChars="1400"/>
        <w:jc w:val="both"/>
        <w:textAlignment w:val="auto"/>
        <w:outlineLvl w:val="9"/>
        <w:rPr>
          <w:rFonts w:hint="eastAsia" w:ascii="黑体" w:eastAsia="黑体" w:cs="????_GBK"/>
          <w:color w:val="auto"/>
          <w:sz w:val="21"/>
          <w:szCs w:val="21"/>
          <w:lang w:eastAsia="zh-CN"/>
        </w:rPr>
      </w:pPr>
      <w:r>
        <w:rPr>
          <w:rFonts w:hint="eastAsia" w:ascii="黑体" w:eastAsia="黑体" w:cs="????_GBK"/>
          <w:color w:val="auto"/>
          <w:sz w:val="21"/>
          <w:szCs w:val="21"/>
          <w:lang w:eastAsia="zh-CN"/>
        </w:rPr>
        <w:t>标</w:t>
      </w:r>
      <w:r>
        <w:rPr>
          <w:rFonts w:hint="eastAsia" w:ascii="黑体" w:eastAsia="黑体" w:cs="????_GBK"/>
          <w:color w:val="auto"/>
          <w:sz w:val="21"/>
          <w:szCs w:val="21"/>
          <w:lang w:val="en-US" w:eastAsia="zh-CN"/>
        </w:rPr>
        <w:t xml:space="preserve">    </w:t>
      </w:r>
      <w:r>
        <w:rPr>
          <w:rFonts w:hint="eastAsia" w:ascii="黑体" w:eastAsia="黑体" w:cs="????_GBK"/>
          <w:color w:val="auto"/>
          <w:sz w:val="21"/>
          <w:szCs w:val="21"/>
          <w:lang w:eastAsia="zh-CN"/>
        </w:rPr>
        <w:t>段：</w:t>
      </w:r>
      <w:r>
        <w:rPr>
          <w:rFonts w:hint="eastAsia" w:ascii="黑体" w:eastAsia="黑体" w:cs="????_GBK"/>
          <w:color w:val="auto"/>
          <w:sz w:val="21"/>
          <w:szCs w:val="21"/>
          <w:lang w:val="en-US" w:eastAsia="zh-CN"/>
        </w:rPr>
        <w:t>（沙沃乡项目区）第三标段至第四标段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eastAsia="黑体" w:cs="????_GBK"/>
          <w:color w:val="auto"/>
          <w:sz w:val="21"/>
          <w:szCs w:val="21"/>
        </w:rPr>
      </w:pPr>
      <w:r>
        <w:rPr>
          <w:rFonts w:hint="eastAsia" w:ascii="黑体" w:eastAsia="黑体" w:cs="????_GBK"/>
          <w:color w:val="auto"/>
          <w:sz w:val="21"/>
          <w:szCs w:val="21"/>
          <w:lang w:val="en-US" w:eastAsia="zh-CN"/>
        </w:rPr>
        <w:t xml:space="preserve">                   </w:t>
      </w:r>
    </w:p>
    <w:p>
      <w:pPr>
        <w:autoSpaceDE w:val="0"/>
        <w:autoSpaceDN w:val="0"/>
        <w:adjustRightInd w:val="0"/>
        <w:spacing w:line="360" w:lineRule="auto"/>
        <w:jc w:val="left"/>
        <w:rPr>
          <w:rFonts w:ascii="宋体" w:hAnsi="等线" w:cs="SSJ-PK7482000002d-Identity-H"/>
          <w:b/>
          <w:color w:val="auto"/>
          <w:sz w:val="28"/>
          <w:szCs w:val="28"/>
        </w:rPr>
      </w:pPr>
    </w:p>
    <w:p>
      <w:pPr>
        <w:autoSpaceDE w:val="0"/>
        <w:autoSpaceDN w:val="0"/>
        <w:adjustRightInd w:val="0"/>
        <w:spacing w:line="360" w:lineRule="auto"/>
        <w:jc w:val="left"/>
        <w:rPr>
          <w:rFonts w:ascii="宋体" w:hAnsi="等线" w:cs="SSJ-PK7482000002d-Identity-H"/>
          <w:b/>
          <w:color w:val="auto"/>
          <w:sz w:val="28"/>
          <w:szCs w:val="28"/>
        </w:rPr>
      </w:pPr>
    </w:p>
    <w:p>
      <w:pPr>
        <w:autoSpaceDE w:val="0"/>
        <w:autoSpaceDN w:val="0"/>
        <w:adjustRightInd w:val="0"/>
        <w:spacing w:line="360" w:lineRule="auto"/>
        <w:jc w:val="left"/>
        <w:rPr>
          <w:rFonts w:ascii="宋体" w:hAnsi="等线" w:cs="SSJ-PK7482000002d-Identity-H"/>
          <w:b/>
          <w:color w:val="auto"/>
          <w:sz w:val="28"/>
          <w:szCs w:val="28"/>
        </w:rPr>
      </w:pPr>
    </w:p>
    <w:p>
      <w:pPr>
        <w:autoSpaceDE w:val="0"/>
        <w:autoSpaceDN w:val="0"/>
        <w:adjustRightInd w:val="0"/>
        <w:spacing w:line="360" w:lineRule="auto"/>
        <w:ind w:firstLine="1656" w:firstLineChars="591"/>
        <w:jc w:val="left"/>
        <w:rPr>
          <w:rFonts w:hint="eastAsia" w:ascii="宋体" w:hAnsi="宋体" w:eastAsia="等线" w:cs="SSJ-PK7482000002d-Identity-H"/>
          <w:b/>
          <w:color w:val="auto"/>
          <w:sz w:val="28"/>
          <w:szCs w:val="28"/>
        </w:rPr>
      </w:pPr>
    </w:p>
    <w:p>
      <w:pPr>
        <w:autoSpaceDE w:val="0"/>
        <w:autoSpaceDN w:val="0"/>
        <w:adjustRightInd w:val="0"/>
        <w:spacing w:line="360" w:lineRule="auto"/>
        <w:jc w:val="left"/>
        <w:rPr>
          <w:rFonts w:hint="eastAsia" w:ascii="宋体" w:hAnsi="宋体" w:eastAsia="等线" w:cs="SSJ-PK7482000002d-Identity-H"/>
          <w:b/>
          <w:color w:val="auto"/>
          <w:sz w:val="28"/>
          <w:szCs w:val="28"/>
        </w:rPr>
      </w:pPr>
    </w:p>
    <w:p>
      <w:pPr>
        <w:autoSpaceDE w:val="0"/>
        <w:autoSpaceDN w:val="0"/>
        <w:adjustRightInd w:val="0"/>
        <w:spacing w:line="360" w:lineRule="auto"/>
        <w:jc w:val="left"/>
        <w:rPr>
          <w:rFonts w:hint="eastAsia" w:ascii="宋体" w:hAnsi="宋体" w:eastAsia="等线" w:cs="SSJ-PK7482000002d-Identity-H"/>
          <w:b/>
          <w:color w:val="auto"/>
          <w:sz w:val="28"/>
          <w:szCs w:val="28"/>
        </w:rPr>
      </w:pPr>
    </w:p>
    <w:p>
      <w:pPr>
        <w:autoSpaceDE w:val="0"/>
        <w:autoSpaceDN w:val="0"/>
        <w:adjustRightInd w:val="0"/>
        <w:spacing w:line="360" w:lineRule="auto"/>
        <w:ind w:firstLine="2529" w:firstLineChars="790"/>
        <w:jc w:val="left"/>
        <w:rPr>
          <w:rFonts w:ascii="宋体" w:hAnsi="宋体" w:eastAsia="等线" w:cs="H-SS9-PK74820000032-Identity-H"/>
          <w:b/>
          <w:color w:val="auto"/>
          <w:sz w:val="32"/>
          <w:szCs w:val="32"/>
        </w:rPr>
      </w:pPr>
      <w:r>
        <w:rPr>
          <w:rFonts w:hint="eastAsia" w:ascii="宋体" w:hAnsi="宋体" w:eastAsia="等线" w:cs="SSJ-PK7482000002d-Identity-H"/>
          <w:b/>
          <w:color w:val="auto"/>
          <w:sz w:val="32"/>
          <w:szCs w:val="32"/>
        </w:rPr>
        <w:t>招</w:t>
      </w:r>
      <w:r>
        <w:rPr>
          <w:rFonts w:ascii="宋体" w:hAnsi="宋体" w:eastAsia="等线" w:cs="SSJ-PK7482000002d-Identity-H"/>
          <w:b/>
          <w:color w:val="auto"/>
          <w:sz w:val="32"/>
          <w:szCs w:val="32"/>
        </w:rPr>
        <w:t xml:space="preserve"> </w:t>
      </w:r>
      <w:r>
        <w:rPr>
          <w:rFonts w:hint="eastAsia" w:ascii="宋体" w:hAnsi="宋体" w:eastAsia="等线" w:cs="SSJ-PK7482000002d-Identity-H"/>
          <w:b/>
          <w:color w:val="auto"/>
          <w:sz w:val="32"/>
          <w:szCs w:val="32"/>
        </w:rPr>
        <w:t>标</w:t>
      </w:r>
      <w:r>
        <w:rPr>
          <w:rFonts w:ascii="宋体" w:hAnsi="宋体" w:eastAsia="等线" w:cs="SSJ-PK7482000002d-Identity-H"/>
          <w:b/>
          <w:color w:val="auto"/>
          <w:sz w:val="32"/>
          <w:szCs w:val="32"/>
        </w:rPr>
        <w:t xml:space="preserve"> </w:t>
      </w:r>
      <w:r>
        <w:rPr>
          <w:rFonts w:hint="eastAsia" w:ascii="宋体" w:hAnsi="宋体" w:eastAsia="等线" w:cs="SSJ-PK7482000002d-Identity-H"/>
          <w:b/>
          <w:color w:val="auto"/>
          <w:sz w:val="32"/>
          <w:szCs w:val="32"/>
        </w:rPr>
        <w:t>人</w:t>
      </w:r>
      <w:r>
        <w:rPr>
          <w:rFonts w:hint="eastAsia" w:ascii="宋体" w:hAnsi="宋体" w:eastAsia="等线" w:cs="H-SS9-PK74820000032-Identity-H"/>
          <w:b/>
          <w:color w:val="auto"/>
          <w:sz w:val="32"/>
          <w:szCs w:val="32"/>
        </w:rPr>
        <w:t>：</w:t>
      </w:r>
      <w:r>
        <w:rPr>
          <w:rFonts w:hint="eastAsia" w:ascii="宋体" w:hAnsi="宋体" w:eastAsia="等线" w:cs="H-SS9-PK74820000032-Identity-H"/>
          <w:b/>
          <w:color w:val="auto"/>
          <w:sz w:val="32"/>
          <w:szCs w:val="32"/>
          <w:lang w:eastAsia="zh-CN"/>
        </w:rPr>
        <w:t>杞县农业农村局</w:t>
      </w:r>
    </w:p>
    <w:p>
      <w:pPr>
        <w:autoSpaceDE w:val="0"/>
        <w:autoSpaceDN w:val="0"/>
        <w:adjustRightInd w:val="0"/>
        <w:spacing w:line="360" w:lineRule="auto"/>
        <w:ind w:firstLine="2561" w:firstLineChars="800"/>
        <w:jc w:val="left"/>
        <w:rPr>
          <w:rFonts w:ascii="宋体" w:hAnsi="等线" w:cs="H-SS9-PK74820000032-Identity-H"/>
          <w:b/>
          <w:color w:val="auto"/>
          <w:sz w:val="32"/>
          <w:szCs w:val="32"/>
          <w:u w:val="single"/>
        </w:rPr>
      </w:pPr>
      <w:r>
        <w:rPr>
          <w:rFonts w:hint="eastAsia" w:ascii="宋体" w:hAnsi="宋体" w:eastAsia="等线" w:cs="H-SS9-PK74820000032-Identity-H"/>
          <w:b/>
          <w:color w:val="auto"/>
          <w:sz w:val="32"/>
          <w:szCs w:val="32"/>
        </w:rPr>
        <w:t>代理机构：河南亿通招标代理有限公司</w:t>
      </w:r>
    </w:p>
    <w:p>
      <w:pPr>
        <w:autoSpaceDE w:val="0"/>
        <w:autoSpaceDN w:val="0"/>
        <w:adjustRightInd w:val="0"/>
        <w:spacing w:line="360" w:lineRule="auto"/>
        <w:ind w:left="4062" w:leftChars="1187" w:hanging="1569" w:hangingChars="490"/>
        <w:jc w:val="left"/>
        <w:rPr>
          <w:rFonts w:ascii="等线" w:hAnsi="宋体" w:eastAsia="等线" w:cs="SSJ-PK7482000002d-Identity-H"/>
          <w:b/>
          <w:color w:val="auto"/>
          <w:sz w:val="28"/>
          <w:szCs w:val="28"/>
        </w:rPr>
      </w:pPr>
      <w:r>
        <w:rPr>
          <w:rFonts w:hint="eastAsia" w:ascii="等线" w:hAnsi="宋体" w:eastAsia="等线" w:cs="SSJ-PK7482000002d-Identity-H"/>
          <w:b/>
          <w:color w:val="auto"/>
          <w:sz w:val="32"/>
          <w:szCs w:val="32"/>
        </w:rPr>
        <w:t>日</w:t>
      </w:r>
      <w:r>
        <w:rPr>
          <w:rFonts w:ascii="等线" w:hAnsi="宋体" w:eastAsia="等线" w:cs="SSJ-PK7482000002d-Identity-H"/>
          <w:b/>
          <w:color w:val="auto"/>
          <w:sz w:val="32"/>
          <w:szCs w:val="32"/>
        </w:rPr>
        <w:t xml:space="preserve">     </w:t>
      </w:r>
      <w:r>
        <w:rPr>
          <w:rFonts w:hint="eastAsia" w:ascii="等线" w:hAnsi="宋体" w:eastAsia="等线" w:cs="SSJ-PK7482000002d-Identity-H"/>
          <w:b/>
          <w:color w:val="auto"/>
          <w:sz w:val="32"/>
          <w:szCs w:val="32"/>
        </w:rPr>
        <w:t>期：二〇一九年</w:t>
      </w:r>
      <w:r>
        <w:rPr>
          <w:rFonts w:hint="eastAsia" w:ascii="等线" w:hAnsi="宋体" w:eastAsia="等线" w:cs="SSJ-PK7482000002d-Identity-H"/>
          <w:b/>
          <w:color w:val="auto"/>
          <w:sz w:val="32"/>
          <w:szCs w:val="32"/>
          <w:lang w:eastAsia="zh-CN"/>
        </w:rPr>
        <w:t>十一</w:t>
      </w:r>
      <w:r>
        <w:rPr>
          <w:rFonts w:hint="eastAsia" w:ascii="等线" w:hAnsi="宋体" w:eastAsia="等线" w:cs="SSJ-PK7482000002d-Identity-H"/>
          <w:b/>
          <w:color w:val="auto"/>
          <w:sz w:val="32"/>
          <w:szCs w:val="32"/>
        </w:rPr>
        <w:t>月</w:t>
      </w:r>
      <w:r>
        <w:rPr>
          <w:rFonts w:ascii="等线" w:hAnsi="宋体" w:eastAsia="等线" w:cs="SSJ-PK7482000002d-Identity-H"/>
          <w:b/>
          <w:color w:val="auto"/>
          <w:sz w:val="32"/>
          <w:szCs w:val="32"/>
        </w:rPr>
        <w:t xml:space="preserve">  </w:t>
      </w:r>
      <w:r>
        <w:rPr>
          <w:rFonts w:ascii="等线" w:hAnsi="宋体" w:eastAsia="等线" w:cs="SSJ-PK7482000002d-Identity-H"/>
          <w:b/>
          <w:color w:val="auto"/>
          <w:sz w:val="28"/>
          <w:szCs w:val="28"/>
        </w:rPr>
        <w:t xml:space="preserve">                                </w:t>
      </w:r>
    </w:p>
    <w:p>
      <w:pPr>
        <w:autoSpaceDE w:val="0"/>
        <w:autoSpaceDN w:val="0"/>
        <w:adjustRightInd w:val="0"/>
        <w:spacing w:line="360" w:lineRule="auto"/>
        <w:ind w:left="3828" w:leftChars="769" w:hanging="2213" w:hangingChars="790"/>
        <w:jc w:val="left"/>
        <w:rPr>
          <w:rFonts w:ascii="等线" w:hAnsi="宋体" w:eastAsia="等线" w:cs="SSJ-PK7482000002d-Identity-H"/>
          <w:b/>
          <w:color w:val="auto"/>
          <w:sz w:val="28"/>
          <w:szCs w:val="28"/>
        </w:rPr>
      </w:pPr>
    </w:p>
    <w:p>
      <w:pPr>
        <w:jc w:val="left"/>
        <w:rPr>
          <w:rFonts w:ascii="宋体" w:hAnsi="宋体"/>
          <w:color w:val="auto"/>
          <w:spacing w:val="30"/>
          <w:sz w:val="36"/>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0"/>
          <w:cols w:space="720" w:num="1"/>
          <w:titlePg/>
          <w:docGrid w:linePitch="312" w:charSpace="0"/>
        </w:sectPr>
      </w:pPr>
    </w:p>
    <w:p>
      <w:pPr>
        <w:jc w:val="center"/>
        <w:outlineLvl w:val="0"/>
        <w:rPr>
          <w:rFonts w:hint="eastAsia" w:ascii="宋体" w:hAnsi="宋体"/>
          <w:b/>
          <w:color w:val="auto"/>
          <w:sz w:val="36"/>
          <w:szCs w:val="36"/>
        </w:rPr>
      </w:pPr>
      <w:bookmarkStart w:id="0" w:name="_Toc19765"/>
      <w:r>
        <w:rPr>
          <w:rFonts w:hint="eastAsia" w:ascii="宋体" w:hAnsi="宋体"/>
          <w:b/>
          <w:color w:val="auto"/>
          <w:sz w:val="36"/>
          <w:szCs w:val="36"/>
        </w:rPr>
        <w:t>招标文件编制的委托与批准</w:t>
      </w:r>
      <w:bookmarkEnd w:id="0"/>
    </w:p>
    <w:p>
      <w:pPr>
        <w:pStyle w:val="37"/>
        <w:tabs>
          <w:tab w:val="right" w:leader="dot" w:pos="9060"/>
        </w:tabs>
        <w:jc w:val="left"/>
        <w:rPr>
          <w:rFonts w:ascii="宋体" w:hAnsi="宋体"/>
          <w:color w:val="auto"/>
          <w:sz w:val="36"/>
          <w:szCs w:val="36"/>
          <w:lang w:val="zh-CN"/>
        </w:rPr>
        <w:sectPr>
          <w:headerReference r:id="rId10" w:type="first"/>
          <w:footerReference r:id="rId13" w:type="first"/>
          <w:headerReference r:id="rId9" w:type="default"/>
          <w:footerReference r:id="rId11" w:type="default"/>
          <w:footerReference r:id="rId12" w:type="even"/>
          <w:pgSz w:w="11906" w:h="16838"/>
          <w:pgMar w:top="1134" w:right="1417" w:bottom="1134" w:left="1417" w:header="851" w:footer="992" w:gutter="0"/>
          <w:cols w:space="720" w:num="1"/>
          <w:titlePg/>
          <w:docGrid w:linePitch="312" w:charSpace="0"/>
        </w:sectPr>
      </w:pPr>
      <w:r>
        <w:rPr>
          <w:rFonts w:ascii="宋体" w:hAnsi="宋体" w:eastAsia="宋体" w:cs="宋体"/>
          <w:sz w:val="24"/>
          <w:szCs w:val="24"/>
        </w:rPr>
        <w:drawing>
          <wp:inline distT="0" distB="0" distL="114300" distR="114300">
            <wp:extent cx="5725160" cy="7633970"/>
            <wp:effectExtent l="0" t="0" r="8890" b="50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22"/>
                    <a:stretch>
                      <a:fillRect/>
                    </a:stretch>
                  </pic:blipFill>
                  <pic:spPr>
                    <a:xfrm>
                      <a:off x="0" y="0"/>
                      <a:ext cx="5725160" cy="7633970"/>
                    </a:xfrm>
                    <a:prstGeom prst="rect">
                      <a:avLst/>
                    </a:prstGeom>
                    <a:noFill/>
                    <a:ln w="9525">
                      <a:noFill/>
                    </a:ln>
                  </pic:spPr>
                </pic:pic>
              </a:graphicData>
            </a:graphic>
          </wp:inline>
        </w:drawing>
      </w:r>
    </w:p>
    <w:p>
      <w:pPr>
        <w:pStyle w:val="37"/>
        <w:tabs>
          <w:tab w:val="right" w:leader="dot" w:pos="9060"/>
        </w:tabs>
        <w:jc w:val="left"/>
        <w:rPr>
          <w:rFonts w:ascii="宋体" w:hAnsi="宋体"/>
          <w:b/>
          <w:color w:val="auto"/>
          <w:sz w:val="52"/>
          <w:szCs w:val="52"/>
          <w:lang w:val="zh-CN"/>
        </w:rPr>
      </w:pPr>
    </w:p>
    <w:p>
      <w:pPr>
        <w:pStyle w:val="37"/>
        <w:tabs>
          <w:tab w:val="right" w:leader="dot" w:pos="9060"/>
        </w:tabs>
        <w:jc w:val="center"/>
        <w:rPr>
          <w:rFonts w:ascii="宋体" w:hAnsi="宋体"/>
          <w:b/>
          <w:color w:val="auto"/>
          <w:sz w:val="52"/>
          <w:szCs w:val="52"/>
          <w:lang w:val="zh-CN"/>
        </w:rPr>
      </w:pPr>
      <w:r>
        <w:rPr>
          <w:rFonts w:hint="eastAsia" w:ascii="宋体" w:hAnsi="宋体"/>
          <w:b/>
          <w:color w:val="auto"/>
          <w:sz w:val="52"/>
          <w:szCs w:val="52"/>
          <w:lang w:val="zh-CN"/>
        </w:rPr>
        <w:t xml:space="preserve">   目   录</w:t>
      </w:r>
    </w:p>
    <w:p>
      <w:pPr>
        <w:jc w:val="left"/>
        <w:rPr>
          <w:color w:val="auto"/>
          <w:lang w:val="zh-CN"/>
        </w:rPr>
      </w:pPr>
    </w:p>
    <w:p>
      <w:pPr>
        <w:jc w:val="left"/>
        <w:rPr>
          <w:color w:val="auto"/>
          <w:lang w:val="zh-CN"/>
        </w:rPr>
      </w:pPr>
    </w:p>
    <w:sdt>
      <w:sdtPr>
        <w:rPr>
          <w:rFonts w:ascii="宋体" w:hAnsi="宋体" w:eastAsia="宋体" w:cs="Times New Roman"/>
          <w:color w:val="auto"/>
          <w:kern w:val="2"/>
          <w:sz w:val="21"/>
          <w:szCs w:val="20"/>
          <w:lang w:val="en-US" w:eastAsia="zh-CN" w:bidi="ar-SA"/>
        </w:rPr>
        <w:id w:val="147455686"/>
        <w:docPartObj>
          <w:docPartGallery w:val="Table of Contents"/>
          <w:docPartUnique/>
        </w:docPartObj>
      </w:sdtPr>
      <w:sdtEndPr>
        <w:rPr>
          <w:rFonts w:ascii="宋体" w:hAnsi="宋体" w:eastAsia="宋体" w:cs="Times New Roman"/>
          <w:color w:val="auto"/>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1" w:name="_Toc4325_WPSOffice_Type1"/>
          <w:bookmarkStart w:id="2" w:name="_Toc387857945"/>
          <w:bookmarkStart w:id="3" w:name="_Toc388035568"/>
          <w:bookmarkStart w:id="4" w:name="_Toc321472277"/>
          <w:bookmarkStart w:id="5" w:name="_Toc227657458"/>
          <w:bookmarkStart w:id="6" w:name="_Toc214433858"/>
          <w:bookmarkStart w:id="7" w:name="_Toc227492215"/>
        </w:p>
        <w:p>
          <w:pPr>
            <w:pStyle w:val="159"/>
            <w:tabs>
              <w:tab w:val="right" w:leader="dot" w:pos="9072"/>
            </w:tabs>
            <w:rPr>
              <w:color w:val="auto"/>
            </w:rPr>
          </w:pPr>
          <w:r>
            <w:rPr>
              <w:color w:val="auto"/>
            </w:rPr>
            <w:fldChar w:fldCharType="begin"/>
          </w:r>
          <w:r>
            <w:rPr>
              <w:color w:val="auto"/>
            </w:rPr>
            <w:instrText xml:space="preserve"> HYPERLINK \l _Toc22511_WPSOffice_Level1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436ad198-1c5f-4042-931d-16104d7d3dc7}"/>
              </w:placeholder>
            </w:sdtPr>
            <w:sdtEndPr>
              <w:rPr>
                <w:rFonts w:ascii="Arial" w:hAnsi="Arial" w:eastAsia="黑体" w:cs="Times New Roman"/>
                <w:b/>
                <w:color w:val="auto"/>
                <w:kern w:val="2"/>
                <w:sz w:val="32"/>
                <w:szCs w:val="20"/>
                <w:lang w:val="en-US" w:eastAsia="zh-CN" w:bidi="ar-SA"/>
              </w:rPr>
            </w:sdtEndPr>
            <w:sdtContent>
              <w:r>
                <w:rPr>
                  <w:rFonts w:hint="eastAsia" w:ascii="Cambria" w:hAnsi="Cambria" w:cs="Times New Roman" w:eastAsiaTheme="minorEastAsia"/>
                  <w:color w:val="auto"/>
                </w:rPr>
                <w:t>第一章 招标公告</w:t>
              </w:r>
            </w:sdtContent>
          </w:sdt>
          <w:r>
            <w:rPr>
              <w:color w:val="auto"/>
            </w:rPr>
            <w:tab/>
          </w:r>
          <w:bookmarkStart w:id="8" w:name="_Toc22511_WPSOffice_Level1Page"/>
          <w:r>
            <w:rPr>
              <w:color w:val="auto"/>
            </w:rPr>
            <w:t>3</w:t>
          </w:r>
          <w:bookmarkEnd w:id="8"/>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_Toc4325_WPSOffice_Level1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cbee9559-abe0-41d7-935c-4a1f2fa2a139}"/>
              </w:placeholder>
            </w:sdtPr>
            <w:sdtEndPr>
              <w:rPr>
                <w:rFonts w:ascii="Arial" w:hAnsi="Arial" w:eastAsia="黑体" w:cs="Times New Roman"/>
                <w:b/>
                <w:color w:val="auto"/>
                <w:kern w:val="2"/>
                <w:sz w:val="32"/>
                <w:szCs w:val="20"/>
                <w:lang w:val="en-US" w:eastAsia="zh-CN" w:bidi="ar-SA"/>
              </w:rPr>
            </w:sdtEndPr>
            <w:sdtContent>
              <w:r>
                <w:rPr>
                  <w:rFonts w:hint="eastAsia" w:ascii="Cambria" w:hAnsi="Cambria" w:cs="Times New Roman" w:eastAsiaTheme="minorEastAsia"/>
                  <w:color w:val="auto"/>
                </w:rPr>
                <w:t>第二章  投标人须知</w:t>
              </w:r>
            </w:sdtContent>
          </w:sdt>
          <w:r>
            <w:rPr>
              <w:color w:val="auto"/>
            </w:rPr>
            <w:tab/>
          </w:r>
          <w:bookmarkStart w:id="9" w:name="_Toc4325_WPSOffice_Level1Page"/>
          <w:r>
            <w:rPr>
              <w:color w:val="auto"/>
            </w:rPr>
            <w:t>9</w:t>
          </w:r>
          <w:bookmarkEnd w:id="9"/>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_Toc9447_WPSOffice_Level1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1aaefb56-4913-4392-83b8-d5b0b5732a06}"/>
              </w:placeholder>
            </w:sdtPr>
            <w:sdtEndPr>
              <w:rPr>
                <w:rFonts w:ascii="Arial" w:hAnsi="Arial" w:eastAsia="黑体" w:cs="Times New Roman"/>
                <w:b/>
                <w:color w:val="auto"/>
                <w:kern w:val="2"/>
                <w:sz w:val="32"/>
                <w:szCs w:val="20"/>
                <w:lang w:val="en-US" w:eastAsia="zh-CN" w:bidi="ar-SA"/>
              </w:rPr>
            </w:sdtEndPr>
            <w:sdtContent>
              <w:r>
                <w:rPr>
                  <w:rFonts w:hint="eastAsia" w:ascii="Cambria" w:hAnsi="Cambria" w:cs="Times New Roman" w:eastAsiaTheme="minorEastAsia"/>
                  <w:color w:val="auto"/>
                </w:rPr>
                <w:t>第三章 评标办法（综合评估法）</w:t>
              </w:r>
            </w:sdtContent>
          </w:sdt>
          <w:r>
            <w:rPr>
              <w:color w:val="auto"/>
            </w:rPr>
            <w:tab/>
          </w:r>
          <w:bookmarkStart w:id="10" w:name="_Toc9447_WPSOffice_Level1Page"/>
          <w:r>
            <w:rPr>
              <w:color w:val="auto"/>
            </w:rPr>
            <w:t>30</w:t>
          </w:r>
          <w:bookmarkEnd w:id="10"/>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_Toc19709_WPSOffice_Level1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1af5f008-c097-4934-930e-d9e6d53b4804}"/>
              </w:placeholder>
            </w:sdtPr>
            <w:sdtEndPr>
              <w:rPr>
                <w:rFonts w:ascii="Arial" w:hAnsi="Arial" w:eastAsia="黑体" w:cs="Times New Roman"/>
                <w:b/>
                <w:color w:val="auto"/>
                <w:kern w:val="2"/>
                <w:sz w:val="32"/>
                <w:szCs w:val="20"/>
                <w:lang w:val="en-US" w:eastAsia="zh-CN" w:bidi="ar-SA"/>
              </w:rPr>
            </w:sdtEndPr>
            <w:sdtContent>
              <w:r>
                <w:rPr>
                  <w:rFonts w:hint="eastAsia" w:ascii="Cambria" w:hAnsi="Cambria" w:cs="Times New Roman" w:eastAsiaTheme="minorEastAsia"/>
                  <w:color w:val="auto"/>
                </w:rPr>
                <w:t>第四章 合同条款及格式</w:t>
              </w:r>
            </w:sdtContent>
          </w:sdt>
          <w:r>
            <w:rPr>
              <w:color w:val="auto"/>
            </w:rPr>
            <w:tab/>
          </w:r>
          <w:bookmarkStart w:id="11" w:name="_Toc19709_WPSOffice_Level1Page"/>
          <w:r>
            <w:rPr>
              <w:color w:val="auto"/>
            </w:rPr>
            <w:t>35</w:t>
          </w:r>
          <w:bookmarkEnd w:id="11"/>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_Toc17623_WPSOffice_Level1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3e2ec74e-027d-4e9a-9683-7235c1662777}"/>
              </w:placeholder>
            </w:sdtPr>
            <w:sdtEndPr>
              <w:rPr>
                <w:rFonts w:ascii="Arial" w:hAnsi="Arial" w:eastAsia="黑体" w:cs="Times New Roman"/>
                <w:b/>
                <w:color w:val="auto"/>
                <w:kern w:val="2"/>
                <w:sz w:val="32"/>
                <w:szCs w:val="20"/>
                <w:lang w:val="en-US" w:eastAsia="zh-CN" w:bidi="ar-SA"/>
              </w:rPr>
            </w:sdtEndPr>
            <w:sdtContent>
              <w:r>
                <w:rPr>
                  <w:rFonts w:hint="eastAsia" w:ascii="Cambria" w:hAnsi="Cambria" w:cs="Times New Roman" w:eastAsiaTheme="minorEastAsia"/>
                  <w:color w:val="auto"/>
                </w:rPr>
                <w:t>第五章 工程量清单（见附件）</w:t>
              </w:r>
            </w:sdtContent>
          </w:sdt>
          <w:r>
            <w:rPr>
              <w:color w:val="auto"/>
            </w:rPr>
            <w:tab/>
          </w:r>
          <w:bookmarkStart w:id="12" w:name="_Toc17623_WPSOffice_Level1Page"/>
          <w:r>
            <w:rPr>
              <w:color w:val="auto"/>
            </w:rPr>
            <w:t>39</w:t>
          </w:r>
          <w:bookmarkEnd w:id="12"/>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_Toc30632_WPSOffice_Level1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be4a790a-4928-44c9-ba9b-0aa1fd46ab39}"/>
              </w:placeholder>
            </w:sdtPr>
            <w:sdtEndPr>
              <w:rPr>
                <w:rFonts w:ascii="Arial" w:hAnsi="Arial" w:eastAsia="黑体" w:cs="Times New Roman"/>
                <w:b/>
                <w:color w:val="auto"/>
                <w:kern w:val="2"/>
                <w:sz w:val="32"/>
                <w:szCs w:val="20"/>
                <w:lang w:val="en-US" w:eastAsia="zh-CN" w:bidi="ar-SA"/>
              </w:rPr>
            </w:sdtEndPr>
            <w:sdtContent>
              <w:r>
                <w:rPr>
                  <w:rFonts w:hint="eastAsia" w:ascii="Cambria" w:hAnsi="Cambria" w:cs="Times New Roman" w:eastAsiaTheme="minorEastAsia"/>
                  <w:color w:val="auto"/>
                </w:rPr>
                <w:t>第六章 图纸（见附件）</w:t>
              </w:r>
            </w:sdtContent>
          </w:sdt>
          <w:r>
            <w:rPr>
              <w:color w:val="auto"/>
            </w:rPr>
            <w:tab/>
          </w:r>
          <w:bookmarkStart w:id="13" w:name="_Toc30632_WPSOffice_Level1Page"/>
          <w:r>
            <w:rPr>
              <w:color w:val="auto"/>
            </w:rPr>
            <w:t>40</w:t>
          </w:r>
          <w:bookmarkEnd w:id="13"/>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_Toc4104_WPSOffice_Level1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ae437dc9-61ec-4707-bd6e-b9ec0b639622}"/>
              </w:placeholder>
            </w:sdtPr>
            <w:sdtEndPr>
              <w:rPr>
                <w:rFonts w:ascii="Arial" w:hAnsi="Arial" w:eastAsia="黑体" w:cs="Times New Roman"/>
                <w:b/>
                <w:color w:val="auto"/>
                <w:kern w:val="2"/>
                <w:sz w:val="32"/>
                <w:szCs w:val="20"/>
                <w:lang w:val="en-US" w:eastAsia="zh-CN" w:bidi="ar-SA"/>
              </w:rPr>
            </w:sdtEndPr>
            <w:sdtContent>
              <w:r>
                <w:rPr>
                  <w:rFonts w:hint="eastAsia" w:ascii="Cambria" w:hAnsi="Cambria" w:cs="Times New Roman" w:eastAsiaTheme="minorEastAsia"/>
                  <w:color w:val="auto"/>
                </w:rPr>
                <w:t>第七章 技术标准和要求</w:t>
              </w:r>
            </w:sdtContent>
          </w:sdt>
          <w:r>
            <w:rPr>
              <w:color w:val="auto"/>
            </w:rPr>
            <w:tab/>
          </w:r>
          <w:bookmarkStart w:id="14" w:name="_Toc4104_WPSOffice_Level1Page"/>
          <w:r>
            <w:rPr>
              <w:color w:val="auto"/>
            </w:rPr>
            <w:t>41</w:t>
          </w:r>
          <w:bookmarkEnd w:id="14"/>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_Toc29856_WPSOffice_Level1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32c404d0-1740-411f-920f-08fd9bd7ae37}"/>
              </w:placeholder>
            </w:sdtPr>
            <w:sdtEndPr>
              <w:rPr>
                <w:rFonts w:ascii="Arial" w:hAnsi="Arial" w:eastAsia="黑体" w:cs="Times New Roman"/>
                <w:b/>
                <w:color w:val="auto"/>
                <w:kern w:val="2"/>
                <w:sz w:val="32"/>
                <w:szCs w:val="20"/>
                <w:lang w:val="en-US" w:eastAsia="zh-CN" w:bidi="ar-SA"/>
              </w:rPr>
            </w:sdtEndPr>
            <w:sdtContent>
              <w:r>
                <w:rPr>
                  <w:rFonts w:hint="eastAsia" w:ascii="Cambria" w:hAnsi="Cambria" w:cs="Times New Roman" w:eastAsiaTheme="minorEastAsia"/>
                  <w:color w:val="auto"/>
                </w:rPr>
                <w:t>第八章 投标文件格式</w:t>
              </w:r>
            </w:sdtContent>
          </w:sdt>
          <w:r>
            <w:rPr>
              <w:color w:val="auto"/>
            </w:rPr>
            <w:tab/>
          </w:r>
          <w:bookmarkStart w:id="15" w:name="_Toc29856_WPSOffice_Level1Page"/>
          <w:r>
            <w:rPr>
              <w:color w:val="auto"/>
            </w:rPr>
            <w:t>42</w:t>
          </w:r>
          <w:bookmarkEnd w:id="15"/>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_Toc22885_WPSOffice_Level1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72394d37-376a-45d9-b7ec-c54aa9c15d84}"/>
              </w:placeholder>
            </w:sdtPr>
            <w:sdtEndPr>
              <w:rPr>
                <w:rFonts w:ascii="Arial" w:hAnsi="Arial" w:eastAsia="黑体" w:cs="Times New Roman"/>
                <w:b/>
                <w:color w:val="auto"/>
                <w:kern w:val="2"/>
                <w:sz w:val="32"/>
                <w:szCs w:val="20"/>
                <w:lang w:val="en-US" w:eastAsia="zh-CN" w:bidi="ar-SA"/>
              </w:rPr>
            </w:sdtEndPr>
            <w:sdtContent>
              <w:r>
                <w:rPr>
                  <w:rFonts w:ascii="宋体" w:hAnsi="宋体" w:eastAsia="宋体" w:cs="Times New Roman"/>
                  <w:color w:val="auto"/>
                </w:rPr>
                <w:t>一、投标函及投标函附录</w:t>
              </w:r>
            </w:sdtContent>
          </w:sdt>
          <w:r>
            <w:rPr>
              <w:color w:val="auto"/>
            </w:rPr>
            <w:tab/>
          </w:r>
          <w:bookmarkStart w:id="16" w:name="_Toc22885_WPSOffice_Level1Page"/>
          <w:r>
            <w:rPr>
              <w:color w:val="auto"/>
            </w:rPr>
            <w:t>44</w:t>
          </w:r>
          <w:bookmarkEnd w:id="16"/>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_Toc4571_WPSOffice_Level1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998e3a6b-be53-4bf0-855e-6ad53461de37}"/>
              </w:placeholder>
            </w:sdtPr>
            <w:sdtEndPr>
              <w:rPr>
                <w:rFonts w:ascii="Arial" w:hAnsi="Arial" w:eastAsia="黑体" w:cs="Times New Roman"/>
                <w:b/>
                <w:color w:val="auto"/>
                <w:kern w:val="2"/>
                <w:sz w:val="32"/>
                <w:szCs w:val="20"/>
                <w:lang w:val="en-US" w:eastAsia="zh-CN" w:bidi="ar-SA"/>
              </w:rPr>
            </w:sdtEndPr>
            <w:sdtContent>
              <w:r>
                <w:rPr>
                  <w:rFonts w:ascii="宋体" w:hAnsi="宋体" w:eastAsia="黑体" w:cs="宋体"/>
                  <w:color w:val="auto"/>
                </w:rPr>
                <w:t>二、法定代表人身份证明</w:t>
              </w:r>
            </w:sdtContent>
          </w:sdt>
          <w:r>
            <w:rPr>
              <w:color w:val="auto"/>
            </w:rPr>
            <w:tab/>
          </w:r>
          <w:bookmarkStart w:id="17" w:name="_Toc4571_WPSOffice_Level1Page"/>
          <w:r>
            <w:rPr>
              <w:color w:val="auto"/>
            </w:rPr>
            <w:t>46</w:t>
          </w:r>
          <w:bookmarkEnd w:id="17"/>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_Toc10741_WPSOffice_Level1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03fe4a0e-766c-498d-b6cb-e9968edaf87f}"/>
              </w:placeholder>
            </w:sdtPr>
            <w:sdtEndPr>
              <w:rPr>
                <w:rFonts w:ascii="Arial" w:hAnsi="Arial" w:eastAsia="黑体" w:cs="Times New Roman"/>
                <w:b/>
                <w:color w:val="auto"/>
                <w:kern w:val="2"/>
                <w:sz w:val="32"/>
                <w:szCs w:val="20"/>
                <w:lang w:val="en-US" w:eastAsia="zh-CN" w:bidi="ar-SA"/>
              </w:rPr>
            </w:sdtEndPr>
            <w:sdtContent>
              <w:r>
                <w:rPr>
                  <w:rFonts w:ascii="宋体" w:hAnsi="宋体" w:eastAsia="黑体" w:cs="宋体"/>
                  <w:color w:val="auto"/>
                </w:rPr>
                <w:t>三、授权委托书</w:t>
              </w:r>
            </w:sdtContent>
          </w:sdt>
          <w:r>
            <w:rPr>
              <w:color w:val="auto"/>
            </w:rPr>
            <w:tab/>
          </w:r>
          <w:bookmarkStart w:id="18" w:name="_Toc10741_WPSOffice_Level1Page"/>
          <w:r>
            <w:rPr>
              <w:color w:val="auto"/>
            </w:rPr>
            <w:t>47</w:t>
          </w:r>
          <w:bookmarkEnd w:id="18"/>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_Toc7394_WPSOffice_Level1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8561de82-1bf8-4e33-827b-d1ab57de63ea}"/>
              </w:placeholder>
            </w:sdtPr>
            <w:sdtEndPr>
              <w:rPr>
                <w:rFonts w:ascii="Arial" w:hAnsi="Arial" w:eastAsia="黑体" w:cs="Times New Roman"/>
                <w:b/>
                <w:color w:val="auto"/>
                <w:kern w:val="2"/>
                <w:sz w:val="32"/>
                <w:szCs w:val="20"/>
                <w:lang w:val="en-US" w:eastAsia="zh-CN" w:bidi="ar-SA"/>
              </w:rPr>
            </w:sdtEndPr>
            <w:sdtContent>
              <w:r>
                <w:rPr>
                  <w:rFonts w:ascii="宋体" w:hAnsi="宋体" w:eastAsia="黑体" w:cs="宋体"/>
                  <w:color w:val="auto"/>
                </w:rPr>
                <w:t>四、已标价工程量清单</w:t>
              </w:r>
            </w:sdtContent>
          </w:sdt>
          <w:r>
            <w:rPr>
              <w:color w:val="auto"/>
            </w:rPr>
            <w:tab/>
          </w:r>
          <w:bookmarkStart w:id="19" w:name="_Toc7394_WPSOffice_Level1Page"/>
          <w:r>
            <w:rPr>
              <w:color w:val="auto"/>
            </w:rPr>
            <w:t>48</w:t>
          </w:r>
          <w:bookmarkEnd w:id="19"/>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_Toc21338_WPSOffice_Level1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b1d1d37c-fe50-4abf-bcfb-f94f140256b0}"/>
              </w:placeholder>
            </w:sdtPr>
            <w:sdtEndPr>
              <w:rPr>
                <w:rFonts w:ascii="Arial" w:hAnsi="Arial" w:eastAsia="黑体" w:cs="Times New Roman"/>
                <w:b/>
                <w:color w:val="auto"/>
                <w:kern w:val="2"/>
                <w:sz w:val="32"/>
                <w:szCs w:val="20"/>
                <w:lang w:val="en-US" w:eastAsia="zh-CN" w:bidi="ar-SA"/>
              </w:rPr>
            </w:sdtEndPr>
            <w:sdtContent>
              <w:r>
                <w:rPr>
                  <w:rFonts w:hint="eastAsia" w:ascii="宋体" w:hAnsi="宋体" w:eastAsia="黑体" w:cs="宋体"/>
                  <w:color w:val="auto"/>
                </w:rPr>
                <w:t xml:space="preserve">五、 </w:t>
              </w:r>
              <w:r>
                <w:rPr>
                  <w:rFonts w:ascii="宋体" w:hAnsi="宋体" w:eastAsia="黑体" w:cs="宋体"/>
                  <w:color w:val="auto"/>
                </w:rPr>
                <w:t>施工组织设计</w:t>
              </w:r>
            </w:sdtContent>
          </w:sdt>
          <w:r>
            <w:rPr>
              <w:color w:val="auto"/>
            </w:rPr>
            <w:tab/>
          </w:r>
          <w:bookmarkStart w:id="20" w:name="_Toc21338_WPSOffice_Level1Page"/>
          <w:r>
            <w:rPr>
              <w:color w:val="auto"/>
            </w:rPr>
            <w:t>49</w:t>
          </w:r>
          <w:bookmarkEnd w:id="20"/>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_Toc32619_WPSOffice_Level1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c0567a20-33dc-49e2-9ea3-5d24da8aa793}"/>
              </w:placeholder>
            </w:sdtPr>
            <w:sdtEndPr>
              <w:rPr>
                <w:rFonts w:ascii="Arial" w:hAnsi="Arial" w:eastAsia="黑体" w:cs="Times New Roman"/>
                <w:b/>
                <w:color w:val="auto"/>
                <w:kern w:val="2"/>
                <w:sz w:val="32"/>
                <w:szCs w:val="20"/>
                <w:lang w:val="en-US" w:eastAsia="zh-CN" w:bidi="ar-SA"/>
              </w:rPr>
            </w:sdtEndPr>
            <w:sdtContent>
              <w:r>
                <w:rPr>
                  <w:rFonts w:ascii="宋体" w:hAnsi="宋体" w:eastAsia="黑体" w:cs="宋体"/>
                  <w:color w:val="auto"/>
                </w:rPr>
                <w:t>六、项目管理机构</w:t>
              </w:r>
            </w:sdtContent>
          </w:sdt>
          <w:r>
            <w:rPr>
              <w:color w:val="auto"/>
            </w:rPr>
            <w:tab/>
          </w:r>
          <w:bookmarkStart w:id="21" w:name="_Toc32619_WPSOffice_Level1Page"/>
          <w:r>
            <w:rPr>
              <w:color w:val="auto"/>
            </w:rPr>
            <w:t>52</w:t>
          </w:r>
          <w:bookmarkEnd w:id="21"/>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_Toc21825_WPSOffice_Level1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b217beb7-8d2b-4750-8103-2db62b61bc2c}"/>
              </w:placeholder>
            </w:sdtPr>
            <w:sdtEndPr>
              <w:rPr>
                <w:rFonts w:ascii="Arial" w:hAnsi="Arial" w:eastAsia="黑体" w:cs="Times New Roman"/>
                <w:b/>
                <w:color w:val="auto"/>
                <w:kern w:val="2"/>
                <w:sz w:val="32"/>
                <w:szCs w:val="20"/>
                <w:lang w:val="en-US" w:eastAsia="zh-CN" w:bidi="ar-SA"/>
              </w:rPr>
            </w:sdtEndPr>
            <w:sdtContent>
              <w:r>
                <w:rPr>
                  <w:rFonts w:ascii="宋体" w:hAnsi="宋体" w:eastAsia="黑体" w:cs="宋体"/>
                  <w:color w:val="auto"/>
                </w:rPr>
                <w:t>七、资格审查资料</w:t>
              </w:r>
            </w:sdtContent>
          </w:sdt>
          <w:r>
            <w:rPr>
              <w:color w:val="auto"/>
            </w:rPr>
            <w:tab/>
          </w:r>
          <w:bookmarkStart w:id="22" w:name="_Toc21825_WPSOffice_Level1Page"/>
          <w:r>
            <w:rPr>
              <w:color w:val="auto"/>
            </w:rPr>
            <w:t>54</w:t>
          </w:r>
          <w:bookmarkEnd w:id="22"/>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_Toc11345_WPSOffice_Level1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ecfcaef5-107f-40e9-ae16-1afd76d330af}"/>
              </w:placeholder>
            </w:sdtPr>
            <w:sdtEndPr>
              <w:rPr>
                <w:rFonts w:ascii="Arial" w:hAnsi="Arial" w:eastAsia="黑体" w:cs="Times New Roman"/>
                <w:b/>
                <w:color w:val="auto"/>
                <w:kern w:val="2"/>
                <w:sz w:val="32"/>
                <w:szCs w:val="20"/>
                <w:lang w:val="en-US" w:eastAsia="zh-CN" w:bidi="ar-SA"/>
              </w:rPr>
            </w:sdtEndPr>
            <w:sdtContent>
              <w:r>
                <w:rPr>
                  <w:rFonts w:ascii="宋体" w:hAnsi="宋体" w:eastAsia="黑体" w:cs="宋体"/>
                  <w:color w:val="auto"/>
                </w:rPr>
                <w:t>八、服务承诺书</w:t>
              </w:r>
            </w:sdtContent>
          </w:sdt>
          <w:r>
            <w:rPr>
              <w:color w:val="auto"/>
            </w:rPr>
            <w:tab/>
          </w:r>
          <w:bookmarkStart w:id="23" w:name="_Toc11345_WPSOffice_Level1Page"/>
          <w:r>
            <w:rPr>
              <w:color w:val="auto"/>
            </w:rPr>
            <w:t>55</w:t>
          </w:r>
          <w:bookmarkEnd w:id="23"/>
          <w:r>
            <w:rPr>
              <w:color w:val="auto"/>
            </w:rPr>
            <w:fldChar w:fldCharType="end"/>
          </w:r>
        </w:p>
        <w:p>
          <w:pPr>
            <w:pStyle w:val="159"/>
            <w:tabs>
              <w:tab w:val="right" w:leader="dot" w:pos="9072"/>
            </w:tabs>
            <w:rPr>
              <w:color w:val="auto"/>
            </w:rPr>
          </w:pPr>
          <w:r>
            <w:rPr>
              <w:color w:val="auto"/>
            </w:rPr>
            <w:fldChar w:fldCharType="begin"/>
          </w:r>
          <w:r>
            <w:rPr>
              <w:color w:val="auto"/>
            </w:rPr>
            <w:instrText xml:space="preserve"> HYPERLINK \l _Toc10587_WPSOffice_Level1 </w:instrText>
          </w:r>
          <w:r>
            <w:rPr>
              <w:color w:val="auto"/>
            </w:rPr>
            <w:fldChar w:fldCharType="separate"/>
          </w:r>
          <w:sdt>
            <w:sdtPr>
              <w:rPr>
                <w:rFonts w:ascii="Arial" w:hAnsi="Arial" w:eastAsia="黑体" w:cs="Times New Roman"/>
                <w:b/>
                <w:color w:val="auto"/>
                <w:kern w:val="2"/>
                <w:sz w:val="32"/>
                <w:szCs w:val="20"/>
                <w:lang w:val="en-US" w:eastAsia="zh-CN" w:bidi="ar-SA"/>
              </w:rPr>
              <w:id w:val="147455686"/>
              <w:placeholder>
                <w:docPart w:val="{6d47787b-be93-42a8-bd1d-448cc625a4ec}"/>
              </w:placeholder>
            </w:sdtPr>
            <w:sdtEndPr>
              <w:rPr>
                <w:rFonts w:ascii="Arial" w:hAnsi="Arial" w:eastAsia="黑体" w:cs="Times New Roman"/>
                <w:b/>
                <w:color w:val="auto"/>
                <w:kern w:val="2"/>
                <w:sz w:val="32"/>
                <w:szCs w:val="20"/>
                <w:lang w:val="en-US" w:eastAsia="zh-CN" w:bidi="ar-SA"/>
              </w:rPr>
            </w:sdtEndPr>
            <w:sdtContent>
              <w:r>
                <w:rPr>
                  <w:rFonts w:hint="eastAsia" w:ascii="Calibri" w:hAnsi="Calibri" w:eastAsia="宋体" w:cs="Times New Roman"/>
                  <w:color w:val="auto"/>
                </w:rPr>
                <w:t>九、</w:t>
              </w:r>
              <w:r>
                <w:rPr>
                  <w:rFonts w:ascii="宋体" w:hAnsi="宋体" w:eastAsia="宋体" w:cs="Times New Roman"/>
                  <w:color w:val="auto"/>
                </w:rPr>
                <w:t>其他材料</w:t>
              </w:r>
            </w:sdtContent>
          </w:sdt>
          <w:r>
            <w:rPr>
              <w:color w:val="auto"/>
            </w:rPr>
            <w:tab/>
          </w:r>
          <w:bookmarkStart w:id="24" w:name="_Toc10587_WPSOffice_Level1Page"/>
          <w:r>
            <w:rPr>
              <w:color w:val="auto"/>
            </w:rPr>
            <w:t>56</w:t>
          </w:r>
          <w:bookmarkEnd w:id="24"/>
          <w:r>
            <w:rPr>
              <w:color w:val="auto"/>
            </w:rPr>
            <w:fldChar w:fldCharType="end"/>
          </w:r>
        </w:p>
        <w:bookmarkEnd w:id="1"/>
        <w:p>
          <w:pPr>
            <w:pStyle w:val="8"/>
            <w:spacing w:line="370" w:lineRule="exact"/>
            <w:jc w:val="left"/>
            <w:rPr>
              <w:rFonts w:ascii="宋体" w:hAnsi="宋体" w:eastAsia="宋体"/>
              <w:color w:val="auto"/>
              <w:sz w:val="30"/>
              <w:szCs w:val="30"/>
              <w:lang w:val="zh-CN"/>
            </w:rPr>
            <w:sectPr>
              <w:pgSz w:w="11906" w:h="16838"/>
              <w:pgMar w:top="1134" w:right="1417" w:bottom="1134" w:left="1417" w:header="851" w:footer="992" w:gutter="0"/>
              <w:cols w:space="720" w:num="1"/>
              <w:titlePg/>
              <w:docGrid w:linePitch="312" w:charSpace="0"/>
            </w:sectPr>
          </w:pPr>
        </w:p>
      </w:sdtContent>
    </w:sdt>
    <w:p>
      <w:pPr>
        <w:pStyle w:val="52"/>
        <w:rPr>
          <w:color w:val="auto"/>
          <w:sz w:val="44"/>
          <w:szCs w:val="44"/>
        </w:rPr>
      </w:pPr>
      <w:bookmarkStart w:id="25" w:name="_Toc22511_WPSOffice_Level1"/>
      <w:bookmarkStart w:id="26" w:name="_Toc16810760"/>
      <w:r>
        <w:rPr>
          <w:rFonts w:hint="eastAsia"/>
          <w:color w:val="auto"/>
          <w:sz w:val="44"/>
          <w:szCs w:val="44"/>
        </w:rPr>
        <w:t>第一章 招标公告</w:t>
      </w:r>
      <w:bookmarkEnd w:id="2"/>
      <w:bookmarkEnd w:id="3"/>
      <w:bookmarkEnd w:id="4"/>
      <w:bookmarkEnd w:id="25"/>
      <w:bookmarkEnd w:id="26"/>
    </w:p>
    <w:bookmarkEnd w:id="5"/>
    <w:bookmarkEnd w:id="6"/>
    <w:bookmarkEnd w:id="7"/>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rPr>
      </w:pPr>
      <w:bookmarkStart w:id="27" w:name="_Toc16810761"/>
      <w:bookmarkStart w:id="28" w:name="_Toc228881133"/>
      <w:bookmarkStart w:id="29" w:name="_Toc321472286"/>
      <w:bookmarkStart w:id="30" w:name="_Toc364341499"/>
      <w:bookmarkStart w:id="31" w:name="_Toc407441823"/>
      <w:bookmarkStart w:id="32" w:name="_Toc407441968"/>
      <w:bookmarkStart w:id="33" w:name="_Toc320989685"/>
      <w:bookmarkStart w:id="34" w:name="_Toc228337071"/>
      <w:bookmarkStart w:id="35" w:name="_Toc228881134"/>
      <w:bookmarkStart w:id="36" w:name="_Toc228591482"/>
      <w:bookmarkStart w:id="37" w:name="_Toc214433860"/>
      <w:bookmarkStart w:id="38" w:name="_Toc227492217"/>
      <w:bookmarkStart w:id="39" w:name="_Toc228589136"/>
      <w:bookmarkStart w:id="40" w:name="_Toc228591630"/>
      <w:bookmarkStart w:id="41" w:name="_Toc227657460"/>
      <w:bookmarkStart w:id="42" w:name="_Toc321472341"/>
      <w:bookmarkStart w:id="43" w:name="_Toc387858008"/>
      <w:bookmarkStart w:id="44" w:name="_Toc228591687"/>
      <w:bookmarkStart w:id="45" w:name="_Toc228337128"/>
      <w:bookmarkStart w:id="46" w:name="_Toc228589193"/>
      <w:bookmarkStart w:id="47" w:name="_Toc228881191"/>
      <w:bookmarkStart w:id="48" w:name="_Toc228591539"/>
      <w:bookmarkStart w:id="49" w:name="_Toc214433917"/>
      <w:bookmarkStart w:id="50" w:name="_Toc227492274"/>
      <w:bookmarkStart w:id="51" w:name="_Toc227657517"/>
      <w:r>
        <w:rPr>
          <w:rFonts w:hint="eastAsia" w:ascii="宋体" w:hAnsi="宋体" w:eastAsia="宋体" w:cs="宋体"/>
          <w:b/>
          <w:bCs/>
          <w:color w:val="auto"/>
          <w:sz w:val="36"/>
          <w:szCs w:val="36"/>
          <w:lang w:val="en-US" w:eastAsia="zh-CN"/>
        </w:rPr>
        <w:t>杞县2019年高标准农田建设项目</w:t>
      </w:r>
      <w:r>
        <w:rPr>
          <w:rFonts w:hint="eastAsia" w:ascii="宋体" w:hAnsi="宋体" w:eastAsia="宋体" w:cs="宋体"/>
          <w:b/>
          <w:bCs/>
          <w:color w:val="auto"/>
          <w:sz w:val="36"/>
          <w:szCs w:val="36"/>
          <w:lang w:eastAsia="zh-CN"/>
        </w:rPr>
        <w:t>（沙沃乡项目区）</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一、招标条件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本招标项目</w:t>
      </w:r>
      <w:r>
        <w:rPr>
          <w:rFonts w:hint="eastAsia" w:ascii="宋体" w:hAnsi="宋体" w:eastAsia="宋体" w:cs="宋体"/>
          <w:color w:val="auto"/>
          <w:sz w:val="28"/>
          <w:szCs w:val="28"/>
          <w:lang w:val="en-US" w:eastAsia="zh-CN"/>
        </w:rPr>
        <w:t>杞县2019年高标准农田建设项目</w:t>
      </w:r>
      <w:r>
        <w:rPr>
          <w:rFonts w:hint="eastAsia" w:ascii="宋体" w:hAnsi="宋体" w:eastAsia="宋体" w:cs="宋体"/>
          <w:color w:val="auto"/>
          <w:sz w:val="28"/>
          <w:szCs w:val="28"/>
          <w:lang w:eastAsia="zh-CN"/>
        </w:rPr>
        <w:t>（沙沃乡项目区）</w:t>
      </w:r>
      <w:r>
        <w:rPr>
          <w:rFonts w:hint="eastAsia" w:ascii="宋体" w:hAnsi="宋体" w:eastAsia="宋体" w:cs="宋体"/>
          <w:color w:val="auto"/>
          <w:sz w:val="28"/>
          <w:szCs w:val="28"/>
        </w:rPr>
        <w:t>已经相关部门批准实施，招标人为杞县农业农村局，项目已具备招标条件，现委托河南亿通招标代理有限公司对该项目进行公开招标，欢迎具有相应资质的投标人参加投标，现将有关事宜公告如下：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二、工程概况及招标范围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2.1工程名称：</w:t>
      </w:r>
      <w:r>
        <w:rPr>
          <w:rFonts w:hint="eastAsia" w:ascii="宋体" w:hAnsi="宋体" w:eastAsia="宋体" w:cs="宋体"/>
          <w:color w:val="auto"/>
          <w:sz w:val="28"/>
          <w:szCs w:val="28"/>
          <w:lang w:val="en-US" w:eastAsia="zh-CN"/>
        </w:rPr>
        <w:t>杞县2019年高标准农田建设项目</w:t>
      </w:r>
      <w:r>
        <w:rPr>
          <w:rFonts w:hint="eastAsia" w:ascii="宋体" w:hAnsi="宋体" w:eastAsia="宋体" w:cs="宋体"/>
          <w:color w:val="auto"/>
          <w:sz w:val="28"/>
          <w:szCs w:val="28"/>
          <w:lang w:eastAsia="zh-CN"/>
        </w:rPr>
        <w:t>（沙沃乡项目区）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2.2招标编号：豫财农水［2019］26号，27号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2.3项目总投资：</w:t>
      </w:r>
      <w:r>
        <w:rPr>
          <w:rFonts w:hint="eastAsia" w:ascii="宋体" w:hAnsi="宋体" w:cs="宋体"/>
          <w:color w:val="auto"/>
          <w:sz w:val="28"/>
          <w:szCs w:val="28"/>
          <w:lang w:val="en-US" w:eastAsia="zh-CN"/>
        </w:rPr>
        <w:t>1600</w:t>
      </w:r>
      <w:r>
        <w:rPr>
          <w:rFonts w:hint="eastAsia" w:ascii="宋体" w:hAnsi="宋体" w:eastAsia="宋体" w:cs="宋体"/>
          <w:color w:val="auto"/>
          <w:sz w:val="28"/>
          <w:szCs w:val="28"/>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2.4资金来源：</w:t>
      </w:r>
      <w:r>
        <w:rPr>
          <w:rFonts w:hint="eastAsia" w:ascii="宋体" w:hAnsi="宋体" w:cs="宋体"/>
          <w:color w:val="auto"/>
          <w:sz w:val="28"/>
          <w:szCs w:val="28"/>
          <w:lang w:eastAsia="zh-CN"/>
        </w:rPr>
        <w:t>财政资金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2.5建设地点：</w:t>
      </w:r>
      <w:r>
        <w:rPr>
          <w:rFonts w:hint="eastAsia" w:ascii="宋体" w:hAnsi="宋体" w:cs="宋体"/>
          <w:color w:val="auto"/>
          <w:sz w:val="28"/>
          <w:szCs w:val="28"/>
          <w:lang w:eastAsia="zh-CN"/>
        </w:rPr>
        <w:t>开封市杞县沙沃乡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2.6建设规模：</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万亩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2.7计划工期：</w:t>
      </w:r>
    </w:p>
    <w:p>
      <w:pPr>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施工工期：60日历天；</w:t>
      </w:r>
    </w:p>
    <w:p>
      <w:pPr>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监理标段：同施工工期及保修期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2.8工程质量：合格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2.9标段划分：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沙沃乡项目区</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项目区）--</w:t>
      </w:r>
      <w:r>
        <w:rPr>
          <w:rFonts w:hint="eastAsia" w:ascii="宋体" w:hAnsi="宋体" w:eastAsia="宋体" w:cs="宋体"/>
          <w:color w:val="auto"/>
          <w:sz w:val="28"/>
          <w:szCs w:val="28"/>
          <w:lang w:val="en-US" w:eastAsia="zh-CN"/>
        </w:rPr>
        <w:t>新打机井A</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第2标段：（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项目区）--</w:t>
      </w:r>
      <w:r>
        <w:rPr>
          <w:rFonts w:hint="eastAsia" w:ascii="宋体" w:hAnsi="宋体" w:eastAsia="宋体" w:cs="宋体"/>
          <w:color w:val="auto"/>
          <w:sz w:val="28"/>
          <w:szCs w:val="28"/>
          <w:lang w:val="en-US" w:eastAsia="zh-CN"/>
        </w:rPr>
        <w:t>新打机井</w:t>
      </w:r>
      <w:r>
        <w:rPr>
          <w:rFonts w:hint="eastAsia" w:ascii="宋体" w:hAnsi="宋体" w:cs="宋体"/>
          <w:color w:val="auto"/>
          <w:sz w:val="28"/>
          <w:szCs w:val="28"/>
          <w:lang w:val="en-US" w:eastAsia="zh-CN"/>
        </w:rPr>
        <w:t>B</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第3标段：（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项目区）--机井配套</w:t>
      </w:r>
      <w:r>
        <w:rPr>
          <w:rFonts w:hint="eastAsia" w:ascii="宋体" w:hAnsi="宋体" w:cs="宋体"/>
          <w:color w:val="auto"/>
          <w:sz w:val="28"/>
          <w:szCs w:val="28"/>
          <w:lang w:val="en-US" w:eastAsia="zh-CN"/>
        </w:rPr>
        <w:t>A</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第4标段：（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项目区）--机井配套B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第5标段：（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项目区）--渠系建筑物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第6标段：（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项目区）--地埋管道A</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第7标段：（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项目区）--地埋管道B</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第8标段：（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项目区）--农田输配电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第9标段：（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项目区）--田间道路A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第10标段：（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项目区）--田间道路B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第11标段：（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项目区）--田间道路C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第12标段：（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项目区）--田间道路D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第13标段：（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项目区）--田间道路E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第14标段：（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项目区）--田间道路F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第15标段：（</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 xml:space="preserve">项目区）--开挖整修沟渠及农田防护林 </w:t>
      </w:r>
    </w:p>
    <w:p>
      <w:pPr>
        <w:pStyle w:val="2"/>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监理标段：</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沙沃乡</w:t>
      </w:r>
      <w:r>
        <w:rPr>
          <w:rFonts w:hint="eastAsia" w:ascii="宋体" w:hAnsi="宋体" w:eastAsia="宋体" w:cs="宋体"/>
          <w:color w:val="auto"/>
          <w:sz w:val="28"/>
          <w:szCs w:val="28"/>
        </w:rPr>
        <w:t>项目区）</w:t>
      </w:r>
      <w:r>
        <w:rPr>
          <w:rFonts w:hint="eastAsia" w:ascii="宋体" w:hAnsi="宋体" w:eastAsia="宋体" w:cs="宋体"/>
          <w:color w:val="auto"/>
          <w:sz w:val="28"/>
          <w:szCs w:val="28"/>
          <w:lang w:eastAsia="zh-CN"/>
        </w:rPr>
        <w:t>项目监理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2.10招标范围：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color w:val="auto"/>
          <w:lang w:val="en-US" w:eastAsia="zh-CN"/>
        </w:rPr>
      </w:pPr>
      <w:r>
        <w:rPr>
          <w:rFonts w:hint="eastAsia" w:ascii="宋体" w:hAnsi="宋体" w:eastAsia="宋体" w:cs="宋体"/>
          <w:color w:val="auto"/>
          <w:sz w:val="28"/>
          <w:szCs w:val="28"/>
        </w:rPr>
        <w:t>施工标段：招标文件、工程量清单及施工图纸范围内的全部内容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监理标段：施工及缺陷责任期阶段的监理服务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三、投标人资格要求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3.1.1、投标人具有独立企业法人资格, 具备有效的营业执照；；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3.1.2、</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沙沃乡</w:t>
      </w:r>
      <w:r>
        <w:rPr>
          <w:rFonts w:hint="eastAsia" w:ascii="宋体" w:hAnsi="宋体" w:eastAsia="宋体" w:cs="宋体"/>
          <w:b/>
          <w:bCs/>
          <w:color w:val="auto"/>
          <w:sz w:val="28"/>
          <w:szCs w:val="28"/>
        </w:rPr>
        <w:t>项目区）--第</w:t>
      </w:r>
      <w:r>
        <w:rPr>
          <w:rFonts w:hint="eastAsia" w:ascii="宋体" w:hAnsi="宋体" w:cs="宋体"/>
          <w:b/>
          <w:bCs/>
          <w:color w:val="auto"/>
          <w:sz w:val="28"/>
          <w:szCs w:val="28"/>
          <w:lang w:eastAsia="zh-CN"/>
        </w:rPr>
        <w:t>三</w:t>
      </w:r>
      <w:r>
        <w:rPr>
          <w:rFonts w:hint="eastAsia" w:ascii="宋体" w:hAnsi="宋体" w:eastAsia="宋体" w:cs="宋体"/>
          <w:b/>
          <w:bCs/>
          <w:color w:val="auto"/>
          <w:sz w:val="28"/>
          <w:szCs w:val="28"/>
        </w:rPr>
        <w:t>至第</w:t>
      </w:r>
      <w:r>
        <w:rPr>
          <w:rFonts w:hint="eastAsia" w:ascii="宋体" w:hAnsi="宋体" w:cs="宋体"/>
          <w:b/>
          <w:bCs/>
          <w:color w:val="auto"/>
          <w:sz w:val="28"/>
          <w:szCs w:val="28"/>
          <w:lang w:eastAsia="zh-CN"/>
        </w:rPr>
        <w:t>四</w:t>
      </w:r>
      <w:r>
        <w:rPr>
          <w:rFonts w:hint="eastAsia" w:ascii="宋体" w:hAnsi="宋体" w:eastAsia="宋体" w:cs="宋体"/>
          <w:b/>
          <w:bCs/>
          <w:color w:val="auto"/>
          <w:sz w:val="28"/>
          <w:szCs w:val="28"/>
        </w:rPr>
        <w:t>标段：</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投标人须具有水利水电工程施工总承包叁级及以上资质</w:t>
      </w:r>
      <w:r>
        <w:rPr>
          <w:rFonts w:hint="eastAsia" w:ascii="宋体" w:hAnsi="宋体" w:eastAsia="宋体" w:cs="宋体"/>
          <w:color w:val="auto"/>
          <w:sz w:val="28"/>
          <w:szCs w:val="28"/>
          <w:lang w:eastAsia="zh-CN"/>
        </w:rPr>
        <w:t>或具有有效营业执照的生产厂家（经营范围中需包含：机电设备、节水灌溉设备、射频卡机井控制装置及玻璃钢制品的生产销售与安装）。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投标人为水利水电工程施工总承包叁级及以上资质时需</w:t>
      </w:r>
      <w:r>
        <w:rPr>
          <w:rFonts w:hint="eastAsia" w:ascii="宋体" w:hAnsi="宋体" w:eastAsia="宋体" w:cs="宋体"/>
          <w:color w:val="auto"/>
          <w:sz w:val="28"/>
          <w:szCs w:val="28"/>
        </w:rPr>
        <w:t>具有有效的安全生产许可证，并在人员、设备、资金等方面具备相应的施工能力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拟投入该项目的项目经理应具备水利水电专业贰级及以上注册建造师资格</w:t>
      </w:r>
      <w:r>
        <w:rPr>
          <w:rFonts w:hint="eastAsia" w:ascii="宋体" w:hAnsi="宋体" w:eastAsia="宋体" w:cs="宋体"/>
          <w:color w:val="auto"/>
          <w:sz w:val="28"/>
          <w:szCs w:val="28"/>
          <w:lang w:eastAsia="zh-CN"/>
        </w:rPr>
        <w:t>（不含临时）</w:t>
      </w:r>
      <w:r>
        <w:rPr>
          <w:rFonts w:hint="eastAsia" w:ascii="宋体" w:hAnsi="宋体" w:eastAsia="宋体" w:cs="宋体"/>
          <w:color w:val="auto"/>
          <w:sz w:val="28"/>
          <w:szCs w:val="28"/>
        </w:rPr>
        <w:t>，且具备有效的安全生产考核合格证和继续教育证（按照规定需继续教育的建造师提供），项目经理和技术负责人具备相关专业中级及以上职称，</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年以上相关工作经验（自取得中级及以上工程技术职称之日计算，提供网上查询方式及网页截图）；项目经理未在其他在建工程中担任项目经理并出具无在建承诺书；项目经理、技术负责人必须为本公司正式员工，须提供近半年有效社会保险证明，并提供网上查询方式及网页截图，出具时间不得早于公告发布时间，如有不在本公司参加社会保险，一经查实取消其投标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投标人为生产厂家时</w:t>
      </w:r>
      <w:r>
        <w:rPr>
          <w:rFonts w:hint="eastAsia" w:ascii="宋体" w:hAnsi="宋体" w:eastAsia="宋体" w:cs="宋体"/>
          <w:color w:val="auto"/>
          <w:sz w:val="28"/>
          <w:szCs w:val="28"/>
        </w:rPr>
        <w:t>技术负责人必须为本公司正式员工，须提供近半年有效社会保险证明，并提供网上查询方式及网页截图，出具时间不得早于公告发布时间，如有不在本公司参加社会保险，一经查实取消其投标资格。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3.1.3、财务状况要求：财务状况良好，须提供投标人近三年（2016、2017、2018）财务审计报告和</w:t>
      </w:r>
      <w:r>
        <w:rPr>
          <w:rFonts w:hint="eastAsia" w:ascii="宋体" w:hAnsi="宋体" w:cs="宋体"/>
          <w:color w:val="auto"/>
          <w:sz w:val="28"/>
          <w:szCs w:val="28"/>
          <w:lang w:val="en-US" w:eastAsia="zh-CN"/>
        </w:rPr>
        <w:t>2019年以来任意三个月</w:t>
      </w:r>
      <w:r>
        <w:rPr>
          <w:rFonts w:hint="eastAsia" w:ascii="宋体" w:hAnsi="宋体" w:eastAsia="宋体" w:cs="宋体"/>
          <w:color w:val="auto"/>
          <w:sz w:val="28"/>
          <w:szCs w:val="28"/>
        </w:rPr>
        <w:t>依法纳税证明材料，若公司成立时间不足三年的，按实际成立年限提供审计报告。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3.1.4、信用要求：投标人近3年内在经营活动中没有重大违法记录,无不良行为并提供书面承诺。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投标人报名至与招标人签订合同期间一旦发现投标人存在信用问题，招标人均有权取消其中标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3.1.5、每个投标人只能报</w:t>
      </w:r>
      <w:r>
        <w:rPr>
          <w:rFonts w:hint="eastAsia" w:ascii="宋体" w:hAnsi="宋体" w:eastAsia="宋体" w:cs="宋体"/>
          <w:color w:val="auto"/>
          <w:sz w:val="28"/>
          <w:szCs w:val="28"/>
          <w:lang w:val="en-US" w:eastAsia="zh-CN"/>
        </w:rPr>
        <w:t>杞县2019年高标准农田建设项目（高阳镇项目区）</w:t>
      </w:r>
      <w:r>
        <w:rPr>
          <w:rFonts w:hint="eastAsia" w:ascii="宋体" w:hAnsi="宋体" w:cs="宋体"/>
          <w:color w:val="auto"/>
          <w:sz w:val="28"/>
          <w:szCs w:val="28"/>
          <w:lang w:val="en-US" w:eastAsia="zh-CN"/>
        </w:rPr>
        <w:t>、（板木乡项目区）、（沙沃乡项目区）、（邢口镇项目区）其中</w:t>
      </w:r>
      <w:r>
        <w:rPr>
          <w:rFonts w:hint="eastAsia" w:ascii="宋体" w:hAnsi="宋体" w:eastAsia="宋体" w:cs="宋体"/>
          <w:color w:val="auto"/>
          <w:sz w:val="28"/>
          <w:szCs w:val="28"/>
        </w:rPr>
        <w:t>一个标段。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3.1.6、投标人近三年不得有行贿犯罪记录，需提供承诺书，承诺对象（企业、法定代表人、项目经理或项目总监）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3.1.7、本项目不接受联合体投标。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3.1.8、本项目投标过程中及中标后拟派项目经理/项目总监不得以任何理由变更。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四、文件下载须知：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4.1投标人应注册成为开封市公共资源交易中心网站会员并取得CA密钥，请于2019年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rPr>
        <w:t>日上午9时00分至2019年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27</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下</w:t>
      </w:r>
      <w:r>
        <w:rPr>
          <w:rFonts w:hint="eastAsia" w:ascii="宋体" w:hAnsi="宋体" w:eastAsia="宋体" w:cs="宋体"/>
          <w:color w:val="auto"/>
          <w:sz w:val="28"/>
          <w:szCs w:val="28"/>
        </w:rPr>
        <w:t>午</w:t>
      </w:r>
      <w:r>
        <w:rPr>
          <w:rFonts w:hint="eastAsia" w:ascii="宋体" w:hAnsi="宋体" w:cs="宋体"/>
          <w:color w:val="auto"/>
          <w:sz w:val="28"/>
          <w:szCs w:val="28"/>
          <w:lang w:val="en-US" w:eastAsia="zh-CN"/>
        </w:rPr>
        <w:t>17</w:t>
      </w:r>
      <w:r>
        <w:rPr>
          <w:rFonts w:hint="eastAsia" w:ascii="宋体" w:hAnsi="宋体" w:eastAsia="宋体" w:cs="宋体"/>
          <w:color w:val="auto"/>
          <w:sz w:val="28"/>
          <w:szCs w:val="28"/>
        </w:rPr>
        <w:t>时</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0分，在开封市公共资源交易中心网站http://www.kfsggzyjyw.cn:8080/ygpt/登录政采、工</w:t>
      </w:r>
      <w:bookmarkStart w:id="1213" w:name="_GoBack"/>
      <w:bookmarkEnd w:id="1213"/>
      <w:r>
        <w:rPr>
          <w:rFonts w:hint="eastAsia" w:ascii="宋体" w:hAnsi="宋体" w:eastAsia="宋体" w:cs="宋体"/>
          <w:color w:val="auto"/>
          <w:sz w:val="28"/>
          <w:szCs w:val="28"/>
        </w:rPr>
        <w:t>程业务系统，凭CA密钥登录会员系统，并按提示进行文件下载。投标人系统操作手册在开封市公共资源交易中心网站http://www.kfsggzyjyw.cn/czgc/13525.htm查看。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4.2投标人凭CA密钥登录会员系统，按要求下载电子招标文件。投标人未按规定下载电子招标文件的，其投标将被拒绝。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下载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4.4请投标人时刻关注开封市公共资源交易中心网站和公司CA密钥推送消息。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五、投标文件的递交：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 投标人需上传电子投标文件，且现场递交一份电子版投标文件（U盘）。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 电子投标文件上传截止时间：2019年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日上午</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时</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 开标时间：2019年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 xml:space="preserve">日上午 </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时</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开标地点：杞县综合服务大厦11楼开标室（金城大道与经四路交叉口东北角处杞县便民服务中心）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5.4电子投标文件须在投标截止时间前在开封市公共资源交易中心网站（http://www.kfsggzyjyw.cn:8080/ygpt/WebUserLoginIndex.html）会员系统中加密上传；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5.5加密电子投标文件逾期上传的，招标人不予受理。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5.6投标人按开标程序解密投标文件。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六、公告发布媒体：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本公告同时在《中国招标投标公共服务平台》、《河南省政府采购网》、《开封市公共资源交易信息网》上发布。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七．联系方式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招标人：杞县农业农村局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地址：开封市杞县西关西街53号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联系人：马先生</w:t>
      </w:r>
      <w:r>
        <w:rPr>
          <w:rFonts w:hint="eastAsia" w:ascii="宋体" w:hAnsi="宋体" w:eastAsia="宋体" w:cs="宋体"/>
          <w:color w:val="auto"/>
          <w:sz w:val="28"/>
          <w:szCs w:val="28"/>
        </w:rPr>
        <w:tab/>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联系电话：18623705235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招标代理：河南亿通招标代理有限公司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 系 人：周女士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联系电话：13781149666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地址：郑州经开区远大理想城五十四号楼一单元1304</w:t>
      </w:r>
    </w:p>
    <w:p>
      <w:pPr>
        <w:pStyle w:val="2"/>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2"/>
        <w:rPr>
          <w:color w:val="auto"/>
          <w:kern w:val="0"/>
          <w:sz w:val="44"/>
          <w:szCs w:val="44"/>
        </w:rPr>
      </w:pPr>
      <w:bookmarkStart w:id="52" w:name="_Toc4325_WPSOffice_Level1"/>
      <w:r>
        <w:rPr>
          <w:rFonts w:hint="eastAsia"/>
          <w:color w:val="auto"/>
          <w:kern w:val="0"/>
          <w:sz w:val="44"/>
          <w:szCs w:val="44"/>
        </w:rPr>
        <w:t>第二章  投标人须知</w:t>
      </w:r>
      <w:bookmarkEnd w:id="27"/>
      <w:bookmarkEnd w:id="52"/>
    </w:p>
    <w:p>
      <w:pPr>
        <w:autoSpaceDE w:val="0"/>
        <w:autoSpaceDN w:val="0"/>
        <w:adjustRightInd w:val="0"/>
        <w:spacing w:line="420" w:lineRule="exact"/>
        <w:jc w:val="center"/>
        <w:rPr>
          <w:rFonts w:ascii="宋体" w:hAnsi="宋体"/>
          <w:b/>
          <w:color w:val="auto"/>
          <w:kern w:val="0"/>
          <w:sz w:val="28"/>
        </w:rPr>
      </w:pPr>
      <w:bookmarkStart w:id="53" w:name="_Toc519168262"/>
      <w:r>
        <w:rPr>
          <w:rFonts w:hint="eastAsia" w:ascii="宋体" w:hAnsi="宋体"/>
          <w:b/>
          <w:color w:val="auto"/>
          <w:kern w:val="0"/>
          <w:sz w:val="28"/>
        </w:rPr>
        <w:t>投标人须知前附表</w:t>
      </w:r>
      <w:bookmarkEnd w:id="28"/>
      <w:bookmarkEnd w:id="29"/>
      <w:bookmarkEnd w:id="30"/>
      <w:bookmarkEnd w:id="31"/>
      <w:bookmarkEnd w:id="32"/>
      <w:bookmarkEnd w:id="33"/>
      <w:bookmarkEnd w:id="53"/>
    </w:p>
    <w:tbl>
      <w:tblPr>
        <w:tblStyle w:val="54"/>
        <w:tblW w:w="9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30"/>
        <w:gridCol w:w="108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条款号</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条 款 名 称</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1.1.2</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招标人</w:t>
            </w:r>
          </w:p>
        </w:tc>
        <w:tc>
          <w:tcPr>
            <w:tcW w:w="6379" w:type="dxa"/>
            <w:vAlign w:val="center"/>
          </w:tcPr>
          <w:p>
            <w:pPr>
              <w:spacing w:line="300" w:lineRule="auto"/>
              <w:jc w:val="left"/>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招标人：</w:t>
            </w:r>
            <w:r>
              <w:rPr>
                <w:rFonts w:hint="eastAsia" w:asciiTheme="minorEastAsia" w:hAnsiTheme="minorEastAsia" w:eastAsiaTheme="minorEastAsia" w:cstheme="minorEastAsia"/>
                <w:bCs/>
                <w:color w:val="auto"/>
                <w:szCs w:val="21"/>
                <w:lang w:eastAsia="zh-CN"/>
              </w:rPr>
              <w:t>杞县农业农村局</w:t>
            </w:r>
          </w:p>
          <w:p>
            <w:pPr>
              <w:spacing w:line="300" w:lineRule="auto"/>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地址：</w:t>
            </w:r>
            <w:r>
              <w:rPr>
                <w:rFonts w:hint="eastAsia" w:asciiTheme="minorEastAsia" w:hAnsiTheme="minorEastAsia" w:eastAsiaTheme="minorEastAsia" w:cstheme="minorEastAsia"/>
                <w:bCs/>
                <w:color w:val="auto"/>
                <w:szCs w:val="21"/>
                <w:lang w:val="en-US" w:eastAsia="zh-CN"/>
              </w:rPr>
              <w:t>开封市杞县西关西街53号</w:t>
            </w:r>
          </w:p>
          <w:p>
            <w:pPr>
              <w:spacing w:line="300" w:lineRule="auto"/>
              <w:jc w:val="left"/>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联系人：</w:t>
            </w:r>
            <w:r>
              <w:rPr>
                <w:rFonts w:hint="eastAsia" w:asciiTheme="minorEastAsia" w:hAnsiTheme="minorEastAsia" w:eastAsiaTheme="minorEastAsia" w:cstheme="minorEastAsia"/>
                <w:bCs/>
                <w:color w:val="auto"/>
                <w:szCs w:val="21"/>
                <w:lang w:val="en-US" w:eastAsia="zh-CN"/>
              </w:rPr>
              <w:t>马先生</w:t>
            </w:r>
            <w:r>
              <w:rPr>
                <w:rFonts w:hint="eastAsia" w:asciiTheme="minorEastAsia" w:hAnsiTheme="minorEastAsia" w:eastAsiaTheme="minorEastAsia" w:cstheme="minorEastAsia"/>
                <w:bCs/>
                <w:color w:val="auto"/>
                <w:szCs w:val="21"/>
                <w:lang w:val="en-US" w:eastAsia="zh-CN"/>
              </w:rPr>
              <w:tab/>
            </w:r>
          </w:p>
          <w:p>
            <w:pPr>
              <w:spacing w:line="300" w:lineRule="auto"/>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联系电话：</w:t>
            </w:r>
            <w:r>
              <w:rPr>
                <w:rFonts w:hint="eastAsia" w:asciiTheme="minorEastAsia" w:hAnsiTheme="minorEastAsia" w:eastAsiaTheme="minorEastAsia" w:cstheme="minorEastAsia"/>
                <w:bCs/>
                <w:color w:val="auto"/>
                <w:szCs w:val="21"/>
                <w:lang w:val="en-US" w:eastAsia="zh-CN"/>
              </w:rPr>
              <w:t>18623705235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1.1.3</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招标代理机构</w:t>
            </w:r>
          </w:p>
        </w:tc>
        <w:tc>
          <w:tcPr>
            <w:tcW w:w="6379" w:type="dxa"/>
            <w:vAlign w:val="center"/>
          </w:tcPr>
          <w:p>
            <w:pPr>
              <w:spacing w:line="300" w:lineRule="auto"/>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招标代理机构：河南亿通招标代理有限公司</w:t>
            </w:r>
          </w:p>
          <w:p>
            <w:pPr>
              <w:spacing w:line="300" w:lineRule="auto"/>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地  址：郑州经开区远大理想城五十四号楼一单元1304</w:t>
            </w:r>
          </w:p>
          <w:p>
            <w:pPr>
              <w:spacing w:line="300" w:lineRule="auto"/>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 xml:space="preserve">联系人：周女士                                        </w:t>
            </w:r>
          </w:p>
          <w:p>
            <w:pPr>
              <w:spacing w:line="300" w:lineRule="auto"/>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 xml:space="preserve">电  话： 13781149666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1.1.4</w:t>
            </w:r>
          </w:p>
        </w:tc>
        <w:tc>
          <w:tcPr>
            <w:tcW w:w="2617" w:type="dxa"/>
            <w:gridSpan w:val="2"/>
            <w:vAlign w:val="center"/>
          </w:tcPr>
          <w:p>
            <w:pPr>
              <w:autoSpaceDE w:val="0"/>
              <w:autoSpaceDN w:val="0"/>
              <w:adjustRightInd w:val="0"/>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项目名称</w:t>
            </w:r>
          </w:p>
        </w:tc>
        <w:tc>
          <w:tcPr>
            <w:tcW w:w="6379" w:type="dxa"/>
            <w:vAlign w:val="center"/>
          </w:tcPr>
          <w:p>
            <w:pPr>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eastAsia="zh-CN"/>
              </w:rPr>
              <w:t>杞县2019年高标准农田建设项目（</w:t>
            </w:r>
            <w:r>
              <w:rPr>
                <w:rFonts w:hint="eastAsia" w:asciiTheme="minorEastAsia" w:hAnsiTheme="minorEastAsia" w:eastAsiaTheme="minorEastAsia" w:cstheme="minorEastAsia"/>
                <w:bCs/>
                <w:color w:val="auto"/>
                <w:szCs w:val="21"/>
                <w:lang w:val="en-US" w:eastAsia="zh-CN"/>
              </w:rPr>
              <w:t>沙沃乡项目区</w:t>
            </w:r>
            <w:r>
              <w:rPr>
                <w:rFonts w:hint="eastAsia" w:asciiTheme="minorEastAsia" w:hAnsiTheme="minorEastAsia" w:eastAsiaTheme="minorEastAsia" w:cstheme="minorEastAsia"/>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1.1.5</w:t>
            </w:r>
          </w:p>
        </w:tc>
        <w:tc>
          <w:tcPr>
            <w:tcW w:w="2617" w:type="dxa"/>
            <w:gridSpan w:val="2"/>
            <w:vAlign w:val="center"/>
          </w:tcPr>
          <w:p>
            <w:pPr>
              <w:autoSpaceDE w:val="0"/>
              <w:autoSpaceDN w:val="0"/>
              <w:adjustRightInd w:val="0"/>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建设地点</w:t>
            </w:r>
          </w:p>
        </w:tc>
        <w:tc>
          <w:tcPr>
            <w:tcW w:w="6379" w:type="dxa"/>
            <w:vAlign w:val="center"/>
          </w:tcPr>
          <w:p>
            <w:pPr>
              <w:tabs>
                <w:tab w:val="left" w:pos="3344"/>
              </w:tabs>
              <w:spacing w:line="400" w:lineRule="exact"/>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开封市</w:t>
            </w:r>
            <w:r>
              <w:rPr>
                <w:rFonts w:hint="eastAsia" w:asciiTheme="minorEastAsia" w:hAnsiTheme="minorEastAsia" w:eastAsiaTheme="minorEastAsia" w:cstheme="minorEastAsia"/>
                <w:color w:val="auto"/>
                <w:szCs w:val="21"/>
                <w:lang w:eastAsia="zh-CN"/>
              </w:rPr>
              <w:t>杞县</w:t>
            </w:r>
            <w:r>
              <w:rPr>
                <w:rFonts w:hint="eastAsia" w:asciiTheme="minorEastAsia" w:hAnsiTheme="minorEastAsia" w:eastAsiaTheme="minorEastAsia" w:cstheme="minorEastAsia"/>
                <w:color w:val="auto"/>
                <w:szCs w:val="21"/>
                <w:lang w:val="en-US" w:eastAsia="zh-CN"/>
              </w:rPr>
              <w:t>沙沃乡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1.2.1</w:t>
            </w:r>
          </w:p>
        </w:tc>
        <w:tc>
          <w:tcPr>
            <w:tcW w:w="2617" w:type="dxa"/>
            <w:gridSpan w:val="2"/>
            <w:vAlign w:val="center"/>
          </w:tcPr>
          <w:p>
            <w:pPr>
              <w:autoSpaceDE w:val="0"/>
              <w:autoSpaceDN w:val="0"/>
              <w:adjustRightInd w:val="0"/>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资金来源</w:t>
            </w:r>
          </w:p>
        </w:tc>
        <w:tc>
          <w:tcPr>
            <w:tcW w:w="6379" w:type="dxa"/>
            <w:vAlign w:val="center"/>
          </w:tcPr>
          <w:p>
            <w:pPr>
              <w:autoSpaceDE w:val="0"/>
              <w:autoSpaceDN w:val="0"/>
              <w:adjustRightIn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1.2.2</w:t>
            </w:r>
          </w:p>
        </w:tc>
        <w:tc>
          <w:tcPr>
            <w:tcW w:w="2617" w:type="dxa"/>
            <w:gridSpan w:val="2"/>
            <w:vAlign w:val="center"/>
          </w:tcPr>
          <w:p>
            <w:pPr>
              <w:autoSpaceDE w:val="0"/>
              <w:autoSpaceDN w:val="0"/>
              <w:adjustRightInd w:val="0"/>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资金落实情况</w:t>
            </w:r>
          </w:p>
        </w:tc>
        <w:tc>
          <w:tcPr>
            <w:tcW w:w="6379" w:type="dxa"/>
            <w:vAlign w:val="center"/>
          </w:tcPr>
          <w:p>
            <w:pPr>
              <w:autoSpaceDE w:val="0"/>
              <w:autoSpaceDN w:val="0"/>
              <w:adjustRightInd w:val="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1.2.3</w:t>
            </w:r>
          </w:p>
        </w:tc>
        <w:tc>
          <w:tcPr>
            <w:tcW w:w="2617" w:type="dxa"/>
            <w:gridSpan w:val="2"/>
            <w:vAlign w:val="center"/>
          </w:tcPr>
          <w:p>
            <w:pPr>
              <w:autoSpaceDE w:val="0"/>
              <w:autoSpaceDN w:val="0"/>
              <w:adjustRightInd w:val="0"/>
              <w:jc w:val="left"/>
              <w:rPr>
                <w:rFonts w:hint="eastAsia" w:asciiTheme="minorEastAsia" w:hAnsiTheme="minorEastAsia" w:eastAsiaTheme="minorEastAsia" w:cstheme="minorEastAsia"/>
                <w:color w:val="auto"/>
                <w:kern w:val="0"/>
                <w:lang w:eastAsia="zh-CN"/>
              </w:rPr>
            </w:pPr>
            <w:r>
              <w:rPr>
                <w:rFonts w:hint="eastAsia" w:asciiTheme="minorEastAsia" w:hAnsiTheme="minorEastAsia" w:eastAsiaTheme="minorEastAsia" w:cstheme="minorEastAsia"/>
                <w:color w:val="auto"/>
                <w:kern w:val="0"/>
                <w:lang w:eastAsia="zh-CN"/>
              </w:rPr>
              <w:t>招标范围</w:t>
            </w:r>
          </w:p>
        </w:tc>
        <w:tc>
          <w:tcPr>
            <w:tcW w:w="6379" w:type="dxa"/>
            <w:vAlign w:val="center"/>
          </w:tcPr>
          <w:p>
            <w:pPr>
              <w:autoSpaceDE w:val="0"/>
              <w:autoSpaceDN w:val="0"/>
              <w:adjustRightInd w:val="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招标文件、工程量清单及施工图纸范围内</w:t>
            </w:r>
            <w:r>
              <w:rPr>
                <w:rFonts w:hint="eastAsia" w:asciiTheme="minorEastAsia" w:hAnsiTheme="minorEastAsia" w:eastAsiaTheme="minorEastAsia" w:cstheme="minorEastAsia"/>
                <w:color w:val="auto"/>
                <w:kern w:val="0"/>
                <w:lang w:eastAsia="zh-CN"/>
              </w:rPr>
              <w:t>补充通知及答疑纪要</w:t>
            </w:r>
            <w:r>
              <w:rPr>
                <w:rFonts w:hint="eastAsia" w:asciiTheme="minorEastAsia" w:hAnsiTheme="minorEastAsia" w:eastAsiaTheme="minorEastAsia" w:cstheme="minorEastAsia"/>
                <w:color w:val="auto"/>
                <w:kern w:val="0"/>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1.3.1</w:t>
            </w:r>
          </w:p>
        </w:tc>
        <w:tc>
          <w:tcPr>
            <w:tcW w:w="2617" w:type="dxa"/>
            <w:gridSpan w:val="2"/>
            <w:vAlign w:val="center"/>
          </w:tcPr>
          <w:p>
            <w:pPr>
              <w:autoSpaceDE w:val="0"/>
              <w:autoSpaceDN w:val="0"/>
              <w:adjustRightInd w:val="0"/>
              <w:jc w:val="left"/>
              <w:rPr>
                <w:rFonts w:hint="eastAsia" w:asciiTheme="minorEastAsia" w:hAnsiTheme="minorEastAsia" w:eastAsiaTheme="minorEastAsia" w:cstheme="minorEastAsia"/>
                <w:color w:val="auto"/>
                <w:kern w:val="0"/>
                <w:sz w:val="28"/>
                <w:lang w:eastAsia="zh-CN"/>
              </w:rPr>
            </w:pPr>
            <w:r>
              <w:rPr>
                <w:rFonts w:hint="eastAsia" w:asciiTheme="minorEastAsia" w:hAnsiTheme="minorEastAsia" w:eastAsiaTheme="minorEastAsia" w:cstheme="minorEastAsia"/>
                <w:color w:val="auto"/>
                <w:kern w:val="0"/>
                <w:lang w:eastAsia="zh-CN"/>
              </w:rPr>
              <w:t>标段划分</w:t>
            </w:r>
          </w:p>
        </w:tc>
        <w:tc>
          <w:tcPr>
            <w:tcW w:w="6379" w:type="dxa"/>
            <w:tcBorders>
              <w:bottom w:val="single" w:color="auto" w:sz="4" w:space="0"/>
            </w:tcBorders>
            <w:vAlign w:val="center"/>
          </w:tcPr>
          <w:p>
            <w:pPr>
              <w:spacing w:line="300" w:lineRule="auto"/>
              <w:jc w:val="lef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沙沃乡项目区</w:t>
            </w:r>
            <w:r>
              <w:rPr>
                <w:rFonts w:hint="eastAsia" w:asciiTheme="minorEastAsia" w:hAnsiTheme="minorEastAsia" w:eastAsiaTheme="minorEastAsia" w:cstheme="minorEastAsia"/>
                <w:b/>
                <w:bCs/>
                <w:color w:val="auto"/>
              </w:rPr>
              <w:t>:</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项目区）--</w:t>
            </w:r>
            <w:r>
              <w:rPr>
                <w:rFonts w:hint="eastAsia" w:asciiTheme="minorEastAsia" w:hAnsiTheme="minorEastAsia" w:eastAsiaTheme="minorEastAsia" w:cstheme="minorEastAsia"/>
                <w:color w:val="auto"/>
                <w:lang w:val="en-US" w:eastAsia="zh-CN"/>
              </w:rPr>
              <w:t>新打机井A</w:t>
            </w:r>
            <w:r>
              <w:rPr>
                <w:rFonts w:hint="eastAsia" w:asciiTheme="minorEastAsia" w:hAnsiTheme="minorEastAsia" w:eastAsiaTheme="minorEastAsia" w:cstheme="minorEastAsia"/>
                <w:color w:val="auto"/>
              </w:rPr>
              <w:t xml:space="preserve">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第2标段：（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项目区）--</w:t>
            </w:r>
            <w:r>
              <w:rPr>
                <w:rFonts w:hint="eastAsia" w:asciiTheme="minorEastAsia" w:hAnsiTheme="minorEastAsia" w:eastAsiaTheme="minorEastAsia" w:cstheme="minorEastAsia"/>
                <w:color w:val="auto"/>
                <w:lang w:val="en-US" w:eastAsia="zh-CN"/>
              </w:rPr>
              <w:t>新打机井B</w:t>
            </w:r>
            <w:r>
              <w:rPr>
                <w:rFonts w:hint="eastAsia" w:asciiTheme="minorEastAsia" w:hAnsiTheme="minorEastAsia" w:eastAsiaTheme="minorEastAsia" w:cstheme="minorEastAsia"/>
                <w:color w:val="auto"/>
              </w:rPr>
              <w:t xml:space="preserve">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第3标段：（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项目区）--机井配套</w:t>
            </w:r>
            <w:r>
              <w:rPr>
                <w:rFonts w:hint="eastAsia" w:asciiTheme="minorEastAsia" w:hAnsiTheme="minorEastAsia" w:eastAsiaTheme="minorEastAsia" w:cstheme="minorEastAsia"/>
                <w:color w:val="auto"/>
                <w:lang w:val="en-US" w:eastAsia="zh-CN"/>
              </w:rPr>
              <w:t>A</w:t>
            </w:r>
            <w:r>
              <w:rPr>
                <w:rFonts w:hint="eastAsia" w:asciiTheme="minorEastAsia" w:hAnsiTheme="minorEastAsia" w:eastAsiaTheme="minorEastAsia" w:cstheme="minorEastAsia"/>
                <w:color w:val="auto"/>
              </w:rPr>
              <w:t xml:space="preserve">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第4标段：（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项目区）--机井配套B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第5标段：（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项目区）--渠系建筑物</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第6标段：（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项目区）--地埋管道A</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第7标段：（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项目区）--地埋管道B</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第8标段：（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项目区）--农田输配电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第9标段：（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项目区）--田间道路A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第10标段：（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项目区）--田间道路B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第11标段：（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项目区）--田间道路C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第12标段：（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项目区）--田间道路D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第13标段：（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项目区）--田间道路E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第14标段：（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项目区）--田间道路F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第15标段：（</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 xml:space="preserve">项目区）--开挖整修沟渠及农田防护林 </w:t>
            </w:r>
          </w:p>
          <w:p>
            <w:pPr>
              <w:spacing w:line="30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监理标段：</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沙沃乡</w:t>
            </w:r>
            <w:r>
              <w:rPr>
                <w:rFonts w:hint="eastAsia" w:asciiTheme="minorEastAsia" w:hAnsiTheme="minorEastAsia" w:eastAsiaTheme="minorEastAsia" w:cstheme="minorEastAsia"/>
                <w:color w:val="auto"/>
              </w:rPr>
              <w:t>项目区）</w:t>
            </w:r>
            <w:r>
              <w:rPr>
                <w:rFonts w:hint="eastAsia" w:asciiTheme="minorEastAsia" w:hAnsiTheme="minorEastAsia" w:eastAsiaTheme="minorEastAsia" w:cstheme="minorEastAsia"/>
                <w:color w:val="auto"/>
                <w:lang w:eastAsia="zh-CN"/>
              </w:rPr>
              <w:t>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6" w:type="dxa"/>
            <w:vAlign w:val="center"/>
          </w:tcPr>
          <w:p>
            <w:pPr>
              <w:autoSpaceDE w:val="0"/>
              <w:autoSpaceDN w:val="0"/>
              <w:adjustRightInd w:val="0"/>
              <w:spacing w:line="420" w:lineRule="exact"/>
              <w:jc w:val="left"/>
              <w:rPr>
                <w:rFonts w:hint="default" w:asciiTheme="minorEastAsia" w:hAnsiTheme="minorEastAsia" w:eastAsiaTheme="minorEastAsia" w:cstheme="minorEastAsia"/>
                <w:color w:val="auto"/>
                <w:kern w:val="0"/>
                <w:sz w:val="28"/>
                <w:lang w:val="en-US" w:eastAsia="zh-CN"/>
              </w:rPr>
            </w:pPr>
            <w:r>
              <w:rPr>
                <w:rFonts w:hint="eastAsia" w:asciiTheme="minorEastAsia" w:hAnsiTheme="minorEastAsia" w:eastAsiaTheme="minorEastAsia" w:cstheme="minorEastAsia"/>
                <w:color w:val="auto"/>
                <w:kern w:val="0"/>
                <w:lang w:val="en-US" w:eastAsia="zh-CN"/>
              </w:rPr>
              <w:t>1.3.2</w:t>
            </w:r>
          </w:p>
        </w:tc>
        <w:tc>
          <w:tcPr>
            <w:tcW w:w="2617" w:type="dxa"/>
            <w:gridSpan w:val="2"/>
            <w:tcBorders>
              <w:right w:val="single" w:color="auto" w:sz="4" w:space="0"/>
            </w:tcBorders>
            <w:vAlign w:val="center"/>
          </w:tcPr>
          <w:p>
            <w:pPr>
              <w:autoSpaceDE w:val="0"/>
              <w:autoSpaceDN w:val="0"/>
              <w:adjustRightInd w:val="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计划工期</w:t>
            </w:r>
          </w:p>
        </w:tc>
        <w:tc>
          <w:tcPr>
            <w:tcW w:w="63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1.3.3</w:t>
            </w:r>
          </w:p>
        </w:tc>
        <w:tc>
          <w:tcPr>
            <w:tcW w:w="2617" w:type="dxa"/>
            <w:gridSpan w:val="2"/>
            <w:vAlign w:val="center"/>
          </w:tcPr>
          <w:p>
            <w:pPr>
              <w:autoSpaceDE w:val="0"/>
              <w:autoSpaceDN w:val="0"/>
              <w:adjustRightInd w:val="0"/>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质量要求</w:t>
            </w:r>
          </w:p>
        </w:tc>
        <w:tc>
          <w:tcPr>
            <w:tcW w:w="6379" w:type="dxa"/>
            <w:tcBorders>
              <w:top w:val="single" w:color="auto" w:sz="4" w:space="0"/>
            </w:tcBorders>
            <w:vAlign w:val="center"/>
          </w:tcPr>
          <w:p>
            <w:pPr>
              <w:autoSpaceDE w:val="0"/>
              <w:autoSpaceDN w:val="0"/>
              <w:adjustRightInd w:val="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1.4.1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投标人资质条件和能力</w:t>
            </w:r>
          </w:p>
        </w:tc>
        <w:tc>
          <w:tcPr>
            <w:tcW w:w="6379" w:type="dxa"/>
            <w:vAlign w:val="center"/>
          </w:tcPr>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3.1.1、投标人具有独立企业法人资格, 具备有效的营业执照；；</w:t>
            </w:r>
          </w:p>
          <w:p>
            <w:pPr>
              <w:spacing w:line="300" w:lineRule="auto"/>
              <w:ind w:firstLine="210" w:firstLineChars="100"/>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3.1.2、</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投标人须具有水利水电工程施工总承包叁级及以上资质</w:t>
            </w:r>
            <w:r>
              <w:rPr>
                <w:rFonts w:hint="eastAsia" w:asciiTheme="minorEastAsia" w:hAnsiTheme="minorEastAsia" w:eastAsiaTheme="minorEastAsia" w:cstheme="minorEastAsia"/>
                <w:color w:val="auto"/>
                <w:lang w:eastAsia="zh-CN"/>
              </w:rPr>
              <w:t>或具有有效营业执照的生产厂家（经营范围中需包含：机电设备、节水灌溉设备、射频卡机井控制装置及玻璃钢制品的生产销售与安装）。</w:t>
            </w:r>
          </w:p>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投标人为水利水电工程施工总承包叁级及以上资质时需</w:t>
            </w:r>
            <w:r>
              <w:rPr>
                <w:rFonts w:hint="eastAsia" w:asciiTheme="minorEastAsia" w:hAnsiTheme="minorEastAsia" w:eastAsiaTheme="minorEastAsia" w:cstheme="minorEastAsia"/>
                <w:color w:val="auto"/>
              </w:rPr>
              <w:t>具有有效的安全生产许可证，并在人员、设备、资金等方面具备相应的施工能力</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拟投入该项目的项目经理应具备水利水电专业贰级及以上注册建造师资格</w:t>
            </w:r>
            <w:r>
              <w:rPr>
                <w:rFonts w:hint="eastAsia" w:asciiTheme="minorEastAsia" w:hAnsiTheme="minorEastAsia" w:eastAsiaTheme="minorEastAsia" w:cstheme="minorEastAsia"/>
                <w:color w:val="auto"/>
                <w:lang w:eastAsia="zh-CN"/>
              </w:rPr>
              <w:t>（不含临时）</w:t>
            </w:r>
            <w:r>
              <w:rPr>
                <w:rFonts w:hint="eastAsia" w:asciiTheme="minorEastAsia" w:hAnsiTheme="minorEastAsia" w:eastAsiaTheme="minorEastAsia" w:cstheme="minorEastAsia"/>
                <w:color w:val="auto"/>
              </w:rPr>
              <w:t>，且具备有效的安全生产考核合格证和继续教育证（按照规定需继续教育的建造师提供），项目经理和技术负责人具备相关专业中级及以上职称，</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年以上相关工作经验（自取得中级及以上工程技术职称之日计算，提供网上查询方式及网页截图）；项目经理未在其他在建工程中担任项目经理并出具无在建承诺书；项目经理、技术负责人必须为本公司正式员工，须提供近半年有效社会保险证明，并提供网上查询方式及网页截图，出具时间不得早于公告发布时间，如有不在本公司参加社会保险，一经查实取消其投标资格。</w:t>
            </w:r>
          </w:p>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lang w:eastAsia="zh-CN"/>
              </w:rPr>
              <w:t>投标人为生产厂家时</w:t>
            </w:r>
            <w:r>
              <w:rPr>
                <w:rFonts w:hint="eastAsia" w:asciiTheme="minorEastAsia" w:hAnsiTheme="minorEastAsia" w:eastAsiaTheme="minorEastAsia" w:cstheme="minorEastAsia"/>
                <w:color w:val="auto"/>
              </w:rPr>
              <w:t>技术负责人必须为本公司正式员工，须提供近半年有效社会保险证明，并提供网上查询方式及网页截图，出具时间不得早于公告发布时间，如有不在本公司参加社会保险，一经查实取消其投标资格。</w:t>
            </w:r>
          </w:p>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3.1.3、财务状况要求：财务状况良好，须提供投标人近三年（2016、2017、2018）财务审计报告和近</w:t>
            </w:r>
            <w:r>
              <w:rPr>
                <w:rFonts w:hint="eastAsia" w:asciiTheme="minorEastAsia" w:hAnsiTheme="minorEastAsia" w:eastAsiaTheme="minorEastAsia" w:cstheme="minorEastAsia"/>
                <w:color w:val="auto"/>
                <w:lang w:val="en-US" w:eastAsia="zh-CN"/>
              </w:rPr>
              <w:t>2019年以来任意三个月</w:t>
            </w:r>
            <w:r>
              <w:rPr>
                <w:rFonts w:hint="eastAsia" w:asciiTheme="minorEastAsia" w:hAnsiTheme="minorEastAsia" w:eastAsiaTheme="minorEastAsia" w:cstheme="minorEastAsia"/>
                <w:color w:val="auto"/>
              </w:rPr>
              <w:t>依法纳税证明材料，若公司成立时间不足三年的，按实际成立年限提供审计报告。</w:t>
            </w:r>
          </w:p>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3.1.4、信用要求：投标人近3年内在经营活动中没有重大违法记录,无不良行为并提供书面承诺。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投标人报名至与招标人签订合同期间一旦发现投标人存在信用问题，招标人均有权取消其中标资格。</w:t>
            </w:r>
          </w:p>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3.1.5、每个投标人只能报</w:t>
            </w:r>
            <w:r>
              <w:rPr>
                <w:rFonts w:hint="eastAsia" w:asciiTheme="minorEastAsia" w:hAnsiTheme="minorEastAsia" w:eastAsiaTheme="minorEastAsia" w:cstheme="minorEastAsia"/>
                <w:color w:val="auto"/>
                <w:lang w:val="en-US" w:eastAsia="zh-CN"/>
              </w:rPr>
              <w:t>杞县2019年高标准农田建设项目（高阳镇项目区）、（板木乡项目区）、（沙沃乡项目区）、（邢口镇项目区）其中</w:t>
            </w:r>
            <w:r>
              <w:rPr>
                <w:rFonts w:hint="eastAsia" w:asciiTheme="minorEastAsia" w:hAnsiTheme="minorEastAsia" w:eastAsiaTheme="minorEastAsia" w:cstheme="minorEastAsia"/>
                <w:color w:val="auto"/>
              </w:rPr>
              <w:t>一个标段。</w:t>
            </w:r>
          </w:p>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3.1.6、投标人近三年不得有行贿犯罪记录，需提供承诺书，承诺对象（企业、法定代表人、项目经理或项目总监）</w:t>
            </w:r>
          </w:p>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3.1.7、本项目不接受联合体投标。</w:t>
            </w:r>
          </w:p>
          <w:p>
            <w:pPr>
              <w:spacing w:line="300" w:lineRule="auto"/>
              <w:ind w:firstLine="210"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3.1.8、本项目投标过程中及中标后拟派项目经理/项目总监不得以任何理由变更。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1.4.2</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是否接受联合体投标</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1.9.1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踏勘现场</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1.10.1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投标预备会</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1.11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分包</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1.12</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偏离</w:t>
            </w:r>
          </w:p>
        </w:tc>
        <w:tc>
          <w:tcPr>
            <w:tcW w:w="6379" w:type="dxa"/>
            <w:vAlign w:val="center"/>
          </w:tcPr>
          <w:p>
            <w:pPr>
              <w:jc w:val="lef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不允许下列重大偏离：</w:t>
            </w:r>
          </w:p>
          <w:p>
            <w:pPr>
              <w:widowControl/>
              <w:ind w:firstLine="412"/>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经评标委员会审查后投标文件有下列情形之一的</w:t>
            </w:r>
            <w:r>
              <w:rPr>
                <w:rFonts w:hint="eastAsia" w:asciiTheme="minorEastAsia" w:hAnsiTheme="minorEastAsia" w:eastAsiaTheme="minorEastAsia" w:cstheme="minorEastAsia"/>
                <w:bCs/>
                <w:color w:val="auto"/>
                <w:kern w:val="0"/>
                <w:sz w:val="30"/>
                <w:szCs w:val="30"/>
              </w:rPr>
              <w:t>，</w:t>
            </w:r>
            <w:r>
              <w:rPr>
                <w:rFonts w:hint="eastAsia" w:asciiTheme="minorEastAsia" w:hAnsiTheme="minorEastAsia" w:eastAsiaTheme="minorEastAsia" w:cstheme="minorEastAsia"/>
                <w:bCs/>
                <w:color w:val="auto"/>
                <w:kern w:val="0"/>
                <w:szCs w:val="21"/>
              </w:rPr>
              <w:t xml:space="preserve">视为未能实质性响应招标文件，应认定为无效标(即废标)：        </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xml:space="preserve">（1）无单位盖章并无法定代表人或法定代表人授权的代理人签字或盖章的； </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xml:space="preserve">（2）未按规定的格式填写，内容不全或关键字迹模糊、无法辨认的； </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xml:space="preserve">（3）投标人递交两份或多份内容不同的投标文件，或在一份投标文件中对同一招标项目报有两个或多个报价，且未声明哪一个有效，按招标文件规定提交备选投标方案的除外； </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（4）投标人名称或组织结构、项目经理与资格预审或投标申请内容不一致，且未在招标文件规定的投标截止时间之前获得招标人和行政主管部门书面同意并在当地有形建筑市场申请变更的；</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 xml:space="preserve">（5）联合体投标未附联合体各方共同投标协议的； </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kern w:val="0"/>
                <w:szCs w:val="21"/>
                <w:lang w:val="en-US" w:eastAsia="zh-CN"/>
              </w:rPr>
              <w:t>6</w:t>
            </w:r>
            <w:r>
              <w:rPr>
                <w:rFonts w:hint="eastAsia" w:asciiTheme="minorEastAsia" w:hAnsiTheme="minorEastAsia" w:eastAsiaTheme="minorEastAsia" w:cstheme="minorEastAsia"/>
                <w:bCs/>
                <w:color w:val="auto"/>
                <w:kern w:val="0"/>
                <w:szCs w:val="21"/>
              </w:rPr>
              <w:t>）不按评标委员会要求澄清、说明或补正的；</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kern w:val="0"/>
                <w:szCs w:val="21"/>
                <w:lang w:val="en-US" w:eastAsia="zh-CN"/>
              </w:rPr>
              <w:t>7</w:t>
            </w:r>
            <w:r>
              <w:rPr>
                <w:rFonts w:hint="eastAsia" w:asciiTheme="minorEastAsia" w:hAnsiTheme="minorEastAsia" w:eastAsiaTheme="minorEastAsia" w:cstheme="minorEastAsia"/>
                <w:bCs/>
                <w:color w:val="auto"/>
                <w:kern w:val="0"/>
                <w:szCs w:val="21"/>
              </w:rPr>
              <w:t>）投标文件载明的招标项目完成期限超过招标文件规定的期限；</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kern w:val="0"/>
                <w:szCs w:val="21"/>
                <w:lang w:val="en-US" w:eastAsia="zh-CN"/>
              </w:rPr>
              <w:t>8</w:t>
            </w:r>
            <w:r>
              <w:rPr>
                <w:rFonts w:hint="eastAsia" w:asciiTheme="minorEastAsia" w:hAnsiTheme="minorEastAsia" w:eastAsiaTheme="minorEastAsia" w:cstheme="minorEastAsia"/>
                <w:bCs/>
                <w:color w:val="auto"/>
                <w:kern w:val="0"/>
                <w:szCs w:val="21"/>
              </w:rPr>
              <w:t>）明显不符合技术规格、技术标准的要求；</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kern w:val="0"/>
                <w:szCs w:val="21"/>
                <w:lang w:val="en-US" w:eastAsia="zh-CN"/>
              </w:rPr>
              <w:t>9</w:t>
            </w:r>
            <w:r>
              <w:rPr>
                <w:rFonts w:hint="eastAsia" w:asciiTheme="minorEastAsia" w:hAnsiTheme="minorEastAsia" w:eastAsiaTheme="minorEastAsia" w:cstheme="minorEastAsia"/>
                <w:bCs/>
                <w:color w:val="auto"/>
                <w:kern w:val="0"/>
                <w:szCs w:val="21"/>
              </w:rPr>
              <w:t>）投标文件附加有招标人不能接受的条件的；</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w:t>
            </w:r>
            <w:r>
              <w:rPr>
                <w:rFonts w:hint="eastAsia" w:asciiTheme="minorEastAsia" w:hAnsiTheme="minorEastAsia" w:eastAsiaTheme="minorEastAsia" w:cstheme="minorEastAsia"/>
                <w:bCs/>
                <w:color w:val="auto"/>
                <w:kern w:val="0"/>
                <w:szCs w:val="21"/>
                <w:lang w:val="en-US" w:eastAsia="zh-CN"/>
              </w:rPr>
              <w:t>0</w:t>
            </w:r>
            <w:r>
              <w:rPr>
                <w:rFonts w:hint="eastAsia" w:asciiTheme="minorEastAsia" w:hAnsiTheme="minorEastAsia" w:eastAsiaTheme="minorEastAsia" w:cstheme="minorEastAsia"/>
                <w:bCs/>
                <w:color w:val="auto"/>
                <w:kern w:val="0"/>
                <w:szCs w:val="21"/>
              </w:rPr>
              <w:t>）投标人以他人的名义投标、串通投标、欺诈、威胁、以行贿手段或其他弄虚作假方式谋取中标、采取可能影响评标公正性的不正当手段的；</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w:t>
            </w:r>
            <w:r>
              <w:rPr>
                <w:rFonts w:hint="eastAsia" w:asciiTheme="minorEastAsia" w:hAnsiTheme="minorEastAsia" w:eastAsiaTheme="minorEastAsia" w:cstheme="minorEastAsia"/>
                <w:bCs/>
                <w:color w:val="auto"/>
                <w:kern w:val="0"/>
                <w:szCs w:val="21"/>
                <w:lang w:val="en-US" w:eastAsia="zh-CN"/>
              </w:rPr>
              <w:t>1</w:t>
            </w:r>
            <w:r>
              <w:rPr>
                <w:rFonts w:hint="eastAsia" w:asciiTheme="minorEastAsia" w:hAnsiTheme="minorEastAsia" w:eastAsiaTheme="minorEastAsia" w:cstheme="minorEastAsia"/>
                <w:bCs/>
                <w:color w:val="auto"/>
                <w:kern w:val="0"/>
                <w:szCs w:val="21"/>
              </w:rPr>
              <w:t>）投标报价超出招标控制价的；</w:t>
            </w:r>
          </w:p>
          <w:p>
            <w:pPr>
              <w:widowControl/>
              <w:ind w:left="207" w:hanging="206"/>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w:t>
            </w:r>
            <w:r>
              <w:rPr>
                <w:rFonts w:hint="eastAsia" w:asciiTheme="minorEastAsia" w:hAnsiTheme="minorEastAsia" w:eastAsiaTheme="minorEastAsia" w:cstheme="minorEastAsia"/>
                <w:bCs/>
                <w:color w:val="auto"/>
                <w:kern w:val="0"/>
                <w:szCs w:val="21"/>
                <w:lang w:val="en-US" w:eastAsia="zh-CN"/>
              </w:rPr>
              <w:t>2</w:t>
            </w:r>
            <w:r>
              <w:rPr>
                <w:rFonts w:hint="eastAsia" w:asciiTheme="minorEastAsia" w:hAnsiTheme="minorEastAsia" w:eastAsiaTheme="minorEastAsia" w:cstheme="minorEastAsia"/>
                <w:bCs/>
                <w:color w:val="auto"/>
                <w:kern w:val="0"/>
                <w:szCs w:val="21"/>
              </w:rPr>
              <w:t>）不符合招标文件中规定的其他实质性要求的；</w:t>
            </w:r>
          </w:p>
          <w:p>
            <w:pPr>
              <w:jc w:val="lef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kern w:val="0"/>
                <w:szCs w:val="21"/>
              </w:rPr>
              <w:t>（1</w:t>
            </w:r>
            <w:r>
              <w:rPr>
                <w:rFonts w:hint="eastAsia" w:asciiTheme="minorEastAsia" w:hAnsiTheme="minorEastAsia" w:eastAsiaTheme="minorEastAsia" w:cstheme="minorEastAsia"/>
                <w:bCs/>
                <w:color w:val="auto"/>
                <w:kern w:val="0"/>
                <w:szCs w:val="21"/>
                <w:lang w:val="en-US" w:eastAsia="zh-CN"/>
              </w:rPr>
              <w:t>3</w:t>
            </w:r>
            <w:r>
              <w:rPr>
                <w:rFonts w:hint="eastAsia" w:asciiTheme="minorEastAsia" w:hAnsiTheme="minorEastAsia" w:eastAsiaTheme="minorEastAsia" w:cstheme="minorEastAsia"/>
                <w:bCs/>
                <w:color w:val="auto"/>
                <w:kern w:val="0"/>
                <w:szCs w:val="21"/>
              </w:rPr>
              <w:t>）投标行为违反招标投标法以及相关法律、法规和规定的。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2.1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构成招标文件的其他材料</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招标补遗文件、</w:t>
            </w:r>
            <w:r>
              <w:rPr>
                <w:rFonts w:hint="eastAsia" w:asciiTheme="minorEastAsia" w:hAnsiTheme="minorEastAsia" w:eastAsiaTheme="minorEastAsia" w:cstheme="minorEastAsia"/>
                <w:color w:val="auto"/>
              </w:rPr>
              <w:t>招标文件的澄清、修改、答疑、图纸或补充文件的内容均以招标公告发布的平台和网站上发布的内容为准。招标文件的澄清、修改、答疑、图纸或补充文件在解释顺序方面优于该类文件之前的文件。当招标文件及其澄清、修改、答疑、图纸或补充件对同一内容表述不一致时，以最后发出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2.2.1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投标人要求澄清招标文件的截止时间</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递交投标文件截至之日10日前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2.2.2</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招标人书面澄清的时间</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接投标人问题后3日内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2.2.3</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投标人确认收到招标文件澄清的时间</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rPr>
              <w:t>在招标公告发布的平台和网站上同时发布后，视为投标人确认收到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2.3.2</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投标人确认收到招标文件修改的时间</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rPr>
              <w:t>在招标公告发布的平台和网站上同时发布后，视为投标人确认收到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3.1.1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构成投标文件的其他材料</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投标人认为必要的其他资料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3.3.1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投标有效期</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3.4.1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投标保证金</w:t>
            </w:r>
          </w:p>
        </w:tc>
        <w:tc>
          <w:tcPr>
            <w:tcW w:w="6379" w:type="dxa"/>
            <w:vAlign w:val="center"/>
          </w:tcPr>
          <w:p>
            <w:pPr>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根据《开封市财政局关于明确政府采购保证金管理工作的通知（卞采购{2019}2号）文件》本项目投标保证金不再收取。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3.4.2</w:t>
            </w:r>
          </w:p>
        </w:tc>
        <w:tc>
          <w:tcPr>
            <w:tcW w:w="2617" w:type="dxa"/>
            <w:gridSpan w:val="2"/>
            <w:vAlign w:val="center"/>
          </w:tcPr>
          <w:p>
            <w:pPr>
              <w:spacing w:after="160" w:line="38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履约担保、农民工工资</w:t>
            </w:r>
          </w:p>
        </w:tc>
        <w:tc>
          <w:tcPr>
            <w:tcW w:w="6379" w:type="dxa"/>
            <w:vAlign w:val="center"/>
          </w:tcPr>
          <w:p>
            <w:pPr>
              <w:pStyle w:val="155"/>
              <w:spacing w:after="120"/>
              <w:ind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0"/>
              </w:rPr>
              <w:t>中标人确定后，中标人应向招标人以转账方式提交中标合同金额的</w:t>
            </w:r>
            <w:r>
              <w:rPr>
                <w:rFonts w:hint="eastAsia" w:asciiTheme="minorEastAsia" w:hAnsiTheme="minorEastAsia" w:eastAsiaTheme="minorEastAsia" w:cstheme="minorEastAsia"/>
                <w:color w:val="auto"/>
                <w:kern w:val="2"/>
                <w:sz w:val="21"/>
                <w:szCs w:val="20"/>
                <w:lang w:val="en-US" w:eastAsia="zh-CN"/>
              </w:rPr>
              <w:t>3</w:t>
            </w:r>
            <w:r>
              <w:rPr>
                <w:rFonts w:hint="eastAsia" w:asciiTheme="minorEastAsia" w:hAnsiTheme="minorEastAsia" w:eastAsiaTheme="minorEastAsia" w:cstheme="minorEastAsia"/>
                <w:color w:val="auto"/>
                <w:kern w:val="2"/>
                <w:sz w:val="21"/>
                <w:szCs w:val="20"/>
              </w:rPr>
              <w:t>%作为履约保证金，发生支付纠纷时，一经查实，发包人将用以上金额先行支付，不足部分将用承包人所完成的工程款支付，并对承包人进行经济处罚，必要时终止合同。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3.5.2</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近年财务状况的年份要求</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Cs w:val="22"/>
              </w:rPr>
              <w:t>2016年度、2017年度、2018年度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3.6</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是否允许递交备选投标方案</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3.7.3</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签字或盖章要求</w:t>
            </w:r>
          </w:p>
        </w:tc>
        <w:tc>
          <w:tcPr>
            <w:tcW w:w="6379"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（1）所有要求投标人盖章处都须加盖投标人的公章。</w:t>
            </w:r>
          </w:p>
          <w:p>
            <w:pPr>
              <w:spacing w:line="360" w:lineRule="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szCs w:val="21"/>
              </w:rPr>
              <w:t>（2）所有要求法定代表人签字或盖章处都须签字或盖章。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3.7.4</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投标文件份数</w:t>
            </w:r>
          </w:p>
        </w:tc>
        <w:tc>
          <w:tcPr>
            <w:tcW w:w="6379" w:type="dxa"/>
            <w:vAlign w:val="center"/>
          </w:tcPr>
          <w:p>
            <w:pPr>
              <w:pStyle w:val="21"/>
              <w:spacing w:line="360" w:lineRule="auto"/>
              <w:rPr>
                <w:rFonts w:hint="eastAsia" w:asciiTheme="minorEastAsia" w:hAnsiTheme="minorEastAsia" w:eastAsiaTheme="minorEastAsia" w:cstheme="minorEastAsia"/>
                <w:color w:val="auto"/>
                <w:kern w:val="0"/>
                <w:szCs w:val="22"/>
                <w:lang w:val="en-US" w:eastAsia="zh-CN"/>
              </w:rPr>
            </w:pPr>
            <w:r>
              <w:rPr>
                <w:rFonts w:hint="eastAsia" w:asciiTheme="minorEastAsia" w:hAnsiTheme="minorEastAsia" w:eastAsiaTheme="minorEastAsia" w:cstheme="minorEastAsia"/>
                <w:color w:val="auto"/>
                <w:kern w:val="0"/>
                <w:szCs w:val="22"/>
                <w:lang w:val="en-US" w:eastAsia="zh-CN"/>
              </w:rPr>
              <w:t>投标人必须在投标截止时间前提供：</w:t>
            </w:r>
          </w:p>
          <w:p>
            <w:pPr>
              <w:pStyle w:val="21"/>
              <w:spacing w:line="360" w:lineRule="auto"/>
              <w:rPr>
                <w:rFonts w:hint="eastAsia" w:asciiTheme="minorEastAsia" w:hAnsiTheme="minorEastAsia" w:eastAsiaTheme="minorEastAsia" w:cstheme="minorEastAsia"/>
                <w:color w:val="auto"/>
                <w:kern w:val="0"/>
                <w:szCs w:val="22"/>
                <w:lang w:val="en-US" w:eastAsia="zh-CN"/>
              </w:rPr>
            </w:pPr>
            <w:r>
              <w:rPr>
                <w:rFonts w:hint="eastAsia" w:asciiTheme="minorEastAsia" w:hAnsiTheme="minorEastAsia" w:eastAsiaTheme="minorEastAsia" w:cstheme="minorEastAsia"/>
                <w:color w:val="auto"/>
                <w:kern w:val="0"/>
                <w:szCs w:val="22"/>
                <w:lang w:val="en-US" w:eastAsia="zh-CN"/>
              </w:rPr>
              <w:t>未加密的U盘形式电子投标文件壹份</w:t>
            </w:r>
          </w:p>
          <w:p>
            <w:pPr>
              <w:pStyle w:val="21"/>
              <w:spacing w:line="360" w:lineRule="auto"/>
              <w:rPr>
                <w:rFonts w:hint="eastAsia" w:asciiTheme="minorEastAsia" w:hAnsiTheme="minorEastAsia" w:eastAsiaTheme="minorEastAsia" w:cstheme="minorEastAsia"/>
                <w:color w:val="auto"/>
                <w:kern w:val="0"/>
                <w:szCs w:val="22"/>
              </w:rPr>
            </w:pPr>
            <w:r>
              <w:rPr>
                <w:rFonts w:hint="eastAsia" w:asciiTheme="minorEastAsia" w:hAnsiTheme="minorEastAsia" w:eastAsiaTheme="minorEastAsia" w:cstheme="minorEastAsia"/>
                <w:color w:val="auto"/>
                <w:kern w:val="0"/>
                <w:szCs w:val="22"/>
                <w:lang w:val="en-US" w:eastAsia="zh-CN"/>
              </w:rPr>
              <w:t>注：现场递交U盘形式电子投标文件壹份应在投标截止时间前递交到规定地点。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3.7.5</w:t>
            </w:r>
          </w:p>
        </w:tc>
        <w:tc>
          <w:tcPr>
            <w:tcW w:w="2617" w:type="dxa"/>
            <w:gridSpan w:val="2"/>
            <w:vAlign w:val="center"/>
          </w:tcPr>
          <w:p>
            <w:pPr>
              <w:spacing w:line="360" w:lineRule="auto"/>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szCs w:val="21"/>
              </w:rPr>
              <w:t>未加密的电子投标文件U盘投标文件密封要求</w:t>
            </w:r>
          </w:p>
        </w:tc>
        <w:tc>
          <w:tcPr>
            <w:tcW w:w="6379" w:type="dxa"/>
            <w:vAlign w:val="center"/>
          </w:tcPr>
          <w:p>
            <w:pPr>
              <w:spacing w:line="46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未加密的电子投标文件U盘</w:t>
            </w:r>
            <w:r>
              <w:rPr>
                <w:rFonts w:hint="eastAsia" w:asciiTheme="minorEastAsia" w:hAnsiTheme="minorEastAsia" w:eastAsiaTheme="minorEastAsia" w:cstheme="minorEastAsia"/>
                <w:color w:val="auto"/>
                <w:szCs w:val="21"/>
              </w:rPr>
              <w:t>封套上写明</w:t>
            </w:r>
          </w:p>
          <w:p>
            <w:pPr>
              <w:spacing w:line="460" w:lineRule="exact"/>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（项目名称）投标文件</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lang w:eastAsia="zh-CN"/>
              </w:rPr>
              <w:t>标段</w:t>
            </w:r>
          </w:p>
          <w:p>
            <w:pPr>
              <w:spacing w:line="46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分前不得开启</w:t>
            </w:r>
          </w:p>
          <w:p>
            <w:pPr>
              <w:spacing w:line="46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招标</w:t>
            </w:r>
            <w:r>
              <w:rPr>
                <w:rFonts w:hint="eastAsia" w:asciiTheme="minorEastAsia" w:hAnsiTheme="minorEastAsia" w:eastAsiaTheme="minorEastAsia" w:cstheme="minorEastAsia"/>
                <w:color w:val="auto"/>
                <w:szCs w:val="21"/>
              </w:rPr>
              <w:t>人名称：</w:t>
            </w:r>
          </w:p>
          <w:p>
            <w:pPr>
              <w:spacing w:line="360" w:lineRule="auto"/>
              <w:jc w:val="left"/>
              <w:rPr>
                <w:rFonts w:hint="eastAsia" w:asciiTheme="minorEastAsia" w:hAnsiTheme="minorEastAsia" w:eastAsiaTheme="minorEastAsia" w:cstheme="minorEastAsia"/>
                <w:color w:val="auto"/>
                <w:kern w:val="0"/>
                <w:szCs w:val="22"/>
                <w:lang w:val="en-US" w:eastAsia="zh-CN"/>
              </w:rPr>
            </w:pPr>
            <w:r>
              <w:rPr>
                <w:rFonts w:hint="eastAsia" w:asciiTheme="minorEastAsia" w:hAnsiTheme="minorEastAsia" w:eastAsiaTheme="minorEastAsia" w:cstheme="minorEastAsia"/>
                <w:color w:val="auto"/>
                <w:szCs w:val="21"/>
              </w:rPr>
              <w:t>投标人名称（加盖公章）：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4.2.2</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lang w:val="en-US" w:eastAsia="zh-CN"/>
              </w:rPr>
            </w:pPr>
            <w:r>
              <w:rPr>
                <w:rFonts w:hint="eastAsia" w:asciiTheme="minorEastAsia" w:hAnsiTheme="minorEastAsia" w:eastAsiaTheme="minorEastAsia" w:cstheme="minorEastAsia"/>
                <w:color w:val="auto"/>
                <w:kern w:val="0"/>
                <w:sz w:val="21"/>
                <w:szCs w:val="21"/>
                <w:lang w:eastAsia="zh-CN"/>
              </w:rPr>
              <w:t>投标文件的递交</w:t>
            </w:r>
          </w:p>
        </w:tc>
        <w:tc>
          <w:tcPr>
            <w:tcW w:w="6379" w:type="dxa"/>
            <w:vAlign w:val="center"/>
          </w:tcPr>
          <w:p>
            <w:pPr>
              <w:autoSpaceDE w:val="0"/>
              <w:autoSpaceDN w:val="0"/>
              <w:adjustRightInd w:val="0"/>
              <w:spacing w:line="44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1、投标人需要上传加密电子投标文件同时递交未加密的电子投标文件（U盘介质</w:t>
            </w:r>
            <w:r>
              <w:rPr>
                <w:rFonts w:hint="eastAsia" w:asciiTheme="minorEastAsia" w:hAnsiTheme="minorEastAsia" w:eastAsiaTheme="minorEastAsia" w:cstheme="minorEastAsia"/>
                <w:color w:val="auto"/>
                <w:kern w:val="0"/>
                <w:szCs w:val="21"/>
                <w:highlight w:val="none"/>
                <w:lang w:eastAsia="zh-CN"/>
              </w:rPr>
              <w:t>，无病毒</w:t>
            </w:r>
            <w:r>
              <w:rPr>
                <w:rFonts w:hint="eastAsia" w:asciiTheme="minorEastAsia" w:hAnsiTheme="minorEastAsia" w:eastAsiaTheme="minorEastAsia" w:cstheme="minorEastAsia"/>
                <w:color w:val="auto"/>
                <w:kern w:val="0"/>
                <w:szCs w:val="21"/>
                <w:highlight w:val="none"/>
              </w:rPr>
              <w:t>）。</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2、加密电子投标文件逾期上传或未加密逾期送达的或者未送达指定地点的投标文件，</w:t>
            </w:r>
            <w:r>
              <w:rPr>
                <w:rFonts w:hint="eastAsia" w:asciiTheme="minorEastAsia" w:hAnsiTheme="minorEastAsia" w:eastAsiaTheme="minorEastAsia" w:cstheme="minorEastAsia"/>
                <w:color w:val="auto"/>
                <w:kern w:val="0"/>
                <w:szCs w:val="21"/>
                <w:highlight w:val="none"/>
                <w:lang w:eastAsia="zh-CN"/>
              </w:rPr>
              <w:t>招标</w:t>
            </w:r>
            <w:r>
              <w:rPr>
                <w:rFonts w:hint="eastAsia" w:asciiTheme="minorEastAsia" w:hAnsiTheme="minorEastAsia" w:eastAsiaTheme="minorEastAsia" w:cstheme="minorEastAsia"/>
                <w:color w:val="auto"/>
                <w:kern w:val="0"/>
                <w:szCs w:val="21"/>
                <w:highlight w:val="none"/>
              </w:rPr>
              <w:t>人不予受理。</w:t>
            </w:r>
          </w:p>
          <w:p>
            <w:pPr>
              <w:adjustRightInd w:val="0"/>
              <w:spacing w:line="360" w:lineRule="auto"/>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highlight w:val="none"/>
              </w:rPr>
              <w:t>3.唱标时由投标人法定代表人或授权委托人凭</w:t>
            </w:r>
            <w:r>
              <w:rPr>
                <w:rFonts w:hint="eastAsia" w:asciiTheme="minorEastAsia" w:hAnsiTheme="minorEastAsia" w:eastAsiaTheme="minorEastAsia" w:cstheme="minorEastAsia"/>
                <w:color w:val="auto"/>
                <w:szCs w:val="21"/>
                <w:highlight w:val="none"/>
              </w:rPr>
              <w:t>身份认证锁（CA密钥）</w:t>
            </w:r>
            <w:r>
              <w:rPr>
                <w:rFonts w:hint="eastAsia" w:asciiTheme="minorEastAsia" w:hAnsiTheme="minorEastAsia" w:eastAsiaTheme="minorEastAsia" w:cstheme="minorEastAsia"/>
                <w:color w:val="auto"/>
                <w:kern w:val="0"/>
                <w:szCs w:val="21"/>
                <w:highlight w:val="none"/>
              </w:rPr>
              <w:t>解密电子投标文件；因投标人自身原因或CA密钥长时间未即时解密的，其所有责任均由投标人自行承担后果，视为撤销其投标文件。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5.1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开标时间和地点</w:t>
            </w:r>
          </w:p>
        </w:tc>
        <w:tc>
          <w:tcPr>
            <w:tcW w:w="6379" w:type="dxa"/>
            <w:vAlign w:val="center"/>
          </w:tcPr>
          <w:p>
            <w:pPr>
              <w:autoSpaceDE w:val="0"/>
              <w:autoSpaceDN w:val="0"/>
              <w:adjustRightInd w:val="0"/>
              <w:spacing w:line="420" w:lineRule="exact"/>
              <w:ind w:left="105" w:hanging="105" w:hangingChars="50"/>
              <w:jc w:val="left"/>
              <w:rPr>
                <w:rFonts w:hint="eastAsia" w:asciiTheme="minorEastAsia" w:hAnsiTheme="minorEastAsia" w:eastAsiaTheme="minorEastAsia" w:cstheme="minorEastAsia"/>
                <w:color w:val="auto"/>
                <w:kern w:val="0"/>
                <w:szCs w:val="22"/>
              </w:rPr>
            </w:pPr>
            <w:r>
              <w:rPr>
                <w:rFonts w:hint="eastAsia" w:asciiTheme="minorEastAsia" w:hAnsiTheme="minorEastAsia" w:eastAsiaTheme="minorEastAsia" w:cstheme="minorEastAsia"/>
                <w:color w:val="auto"/>
                <w:kern w:val="0"/>
              </w:rPr>
              <w:t>开标时间（即</w:t>
            </w:r>
            <w:r>
              <w:rPr>
                <w:rFonts w:hint="eastAsia" w:asciiTheme="minorEastAsia" w:hAnsiTheme="minorEastAsia" w:eastAsiaTheme="minorEastAsia" w:cstheme="minorEastAsia"/>
                <w:color w:val="auto"/>
                <w:szCs w:val="21"/>
              </w:rPr>
              <w:t>上传电子投标文件</w:t>
            </w:r>
            <w:r>
              <w:rPr>
                <w:rFonts w:hint="eastAsia" w:asciiTheme="minorEastAsia" w:hAnsiTheme="minorEastAsia" w:eastAsiaTheme="minorEastAsia" w:cstheme="minorEastAsia"/>
                <w:color w:val="auto"/>
                <w:kern w:val="0"/>
              </w:rPr>
              <w:t>截止时间）</w:t>
            </w:r>
            <w:r>
              <w:rPr>
                <w:rFonts w:hint="eastAsia" w:asciiTheme="minorEastAsia" w:hAnsiTheme="minorEastAsia" w:eastAsiaTheme="minorEastAsia" w:cstheme="minorEastAsia"/>
                <w:color w:val="auto"/>
                <w:kern w:val="0"/>
                <w:szCs w:val="22"/>
              </w:rPr>
              <w:t xml:space="preserve">：2019年 </w:t>
            </w:r>
            <w:r>
              <w:rPr>
                <w:rFonts w:hint="eastAsia" w:asciiTheme="minorEastAsia" w:hAnsiTheme="minorEastAsia" w:eastAsiaTheme="minorEastAsia" w:cstheme="minorEastAsia"/>
                <w:color w:val="auto"/>
                <w:kern w:val="0"/>
                <w:szCs w:val="22"/>
                <w:lang w:val="en-US" w:eastAsia="zh-CN"/>
              </w:rPr>
              <w:t>12</w:t>
            </w:r>
            <w:r>
              <w:rPr>
                <w:rFonts w:hint="eastAsia" w:asciiTheme="minorEastAsia" w:hAnsiTheme="minorEastAsia" w:eastAsiaTheme="minorEastAsia" w:cstheme="minorEastAsia"/>
                <w:color w:val="auto"/>
                <w:kern w:val="0"/>
                <w:szCs w:val="22"/>
              </w:rPr>
              <w:t>月</w:t>
            </w:r>
            <w:r>
              <w:rPr>
                <w:rFonts w:hint="eastAsia" w:asciiTheme="minorEastAsia" w:hAnsiTheme="minorEastAsia" w:eastAsiaTheme="minorEastAsia" w:cstheme="minorEastAsia"/>
                <w:color w:val="auto"/>
                <w:kern w:val="0"/>
                <w:szCs w:val="22"/>
                <w:lang w:val="en-US" w:eastAsia="zh-CN"/>
              </w:rPr>
              <w:t>11</w:t>
            </w:r>
            <w:r>
              <w:rPr>
                <w:rFonts w:hint="eastAsia" w:asciiTheme="minorEastAsia" w:hAnsiTheme="minorEastAsia" w:eastAsiaTheme="minorEastAsia" w:cstheme="minorEastAsia"/>
                <w:color w:val="auto"/>
                <w:kern w:val="0"/>
                <w:szCs w:val="22"/>
              </w:rPr>
              <w:t xml:space="preserve">日上午 </w:t>
            </w:r>
            <w:r>
              <w:rPr>
                <w:rFonts w:hint="eastAsia" w:asciiTheme="minorEastAsia" w:hAnsiTheme="minorEastAsia" w:eastAsiaTheme="minorEastAsia" w:cstheme="minorEastAsia"/>
                <w:color w:val="auto"/>
                <w:kern w:val="0"/>
                <w:szCs w:val="22"/>
                <w:lang w:val="en-US" w:eastAsia="zh-CN"/>
              </w:rPr>
              <w:t xml:space="preserve"> </w:t>
            </w:r>
            <w:r>
              <w:rPr>
                <w:rFonts w:hint="eastAsia" w:asciiTheme="minorEastAsia" w:hAnsiTheme="minorEastAsia" w:eastAsiaTheme="minorEastAsia" w:cstheme="minorEastAsia"/>
                <w:color w:val="auto"/>
                <w:kern w:val="0"/>
                <w:szCs w:val="22"/>
              </w:rPr>
              <w:t xml:space="preserve"> </w:t>
            </w:r>
            <w:r>
              <w:rPr>
                <w:rFonts w:hint="eastAsia" w:asciiTheme="minorEastAsia" w:hAnsiTheme="minorEastAsia" w:eastAsiaTheme="minorEastAsia" w:cstheme="minorEastAsia"/>
                <w:color w:val="auto"/>
                <w:kern w:val="0"/>
                <w:szCs w:val="22"/>
                <w:lang w:val="en-US" w:eastAsia="zh-CN"/>
              </w:rPr>
              <w:t xml:space="preserve">  9</w:t>
            </w:r>
            <w:r>
              <w:rPr>
                <w:rFonts w:hint="eastAsia" w:asciiTheme="minorEastAsia" w:hAnsiTheme="minorEastAsia" w:eastAsiaTheme="minorEastAsia" w:cstheme="minorEastAsia"/>
                <w:color w:val="auto"/>
                <w:kern w:val="0"/>
                <w:szCs w:val="22"/>
              </w:rPr>
              <w:t>时</w:t>
            </w:r>
            <w:r>
              <w:rPr>
                <w:rFonts w:hint="eastAsia" w:asciiTheme="minorEastAsia" w:hAnsiTheme="minorEastAsia" w:eastAsiaTheme="minorEastAsia" w:cstheme="minorEastAsia"/>
                <w:color w:val="auto"/>
                <w:kern w:val="0"/>
                <w:szCs w:val="22"/>
                <w:lang w:val="en-US" w:eastAsia="zh-CN"/>
              </w:rPr>
              <w:t>30</w:t>
            </w:r>
            <w:r>
              <w:rPr>
                <w:rFonts w:hint="eastAsia" w:asciiTheme="minorEastAsia" w:hAnsiTheme="minorEastAsia" w:eastAsiaTheme="minorEastAsia" w:cstheme="minorEastAsia"/>
                <w:color w:val="auto"/>
                <w:kern w:val="0"/>
                <w:szCs w:val="22"/>
              </w:rPr>
              <w:t>分</w:t>
            </w:r>
          </w:p>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开标地点：杞县综合服务大厦</w:t>
            </w:r>
            <w:r>
              <w:rPr>
                <w:rFonts w:hint="eastAsia" w:asciiTheme="minorEastAsia" w:hAnsiTheme="minorEastAsia" w:eastAsiaTheme="minorEastAsia" w:cstheme="minorEastAsia"/>
                <w:color w:val="auto"/>
                <w:kern w:val="0"/>
                <w:lang w:val="en-US" w:eastAsia="zh-CN"/>
              </w:rPr>
              <w:t>11</w:t>
            </w:r>
            <w:r>
              <w:rPr>
                <w:rFonts w:hint="eastAsia" w:asciiTheme="minorEastAsia" w:hAnsiTheme="minorEastAsia" w:eastAsiaTheme="minorEastAsia" w:cstheme="minorEastAsia"/>
                <w:color w:val="auto"/>
                <w:kern w:val="0"/>
              </w:rPr>
              <w:t>楼开标室（金城大道与经四路交叉口东北角处杞县便民服务中心）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5.2</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开标程序</w:t>
            </w:r>
          </w:p>
        </w:tc>
        <w:tc>
          <w:tcPr>
            <w:tcW w:w="6379"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1.招标人在规定的投标文件递交截止时间（开标时间）和投标人须知前附表规定的地点进行开标。投标人的法定代表人或其委托代理人准时参加开标会议。</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2.投标人须在规定的时间内完成解密，若出现非系统原因无法解密的，不再参与开评标。</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3.开标程序</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本项目采用电子开标。到投标文件递交截止时间止，各投标人按电子投标文件递交的顺序对电子投标文件进行解密。解密完成后各投标人的电子投标文件的实质性内容将自动显示在网页中。投标人在投标文件递交截止时间前未上传电子投标文件的将视为放弃开标。</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（2）主持人按下列程序进行开标会议：</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（3）宣布投标文件递交截止时间已到，不再接收投标文件；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（4）进入开标倒计时时宣布开标人、监标人等有关信息；</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（5）宣布开标会议纪律；</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（6）电子投标文件解密；</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（7）电子唱标；</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（8）投标人代表、招标人代表、监标人等有关人员在开标记录上签字确认；</w:t>
            </w:r>
          </w:p>
          <w:p>
            <w:pPr>
              <w:autoSpaceDE w:val="0"/>
              <w:autoSpaceDN w:val="0"/>
              <w:adjustRightInd w:val="0"/>
              <w:spacing w:line="360" w:lineRule="auto"/>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（9）开标会议结束。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6.1.1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评标委员会的组建</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评标委员会由业主代表</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 xml:space="preserve">人，经济、技术等方面的专家 </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人，共</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rPr>
              <w:t>人构成</w:t>
            </w:r>
            <w:r>
              <w:rPr>
                <w:rFonts w:hint="eastAsia" w:asciiTheme="minorEastAsia" w:hAnsiTheme="minorEastAsia" w:eastAsiaTheme="minorEastAsia" w:cstheme="minorEastAsia"/>
                <w:color w:val="auto"/>
                <w:lang w:eastAsia="zh-CN"/>
              </w:rPr>
              <w:t>；</w:t>
            </w:r>
          </w:p>
          <w:p>
            <w:pPr>
              <w:pStyle w:val="2"/>
              <w:ind w:left="0" w:leftChars="0" w:firstLine="0" w:firstLineChars="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kern w:val="2"/>
                <w:sz w:val="21"/>
                <w:szCs w:val="20"/>
                <w:lang w:val="en-US" w:eastAsia="zh-CN" w:bidi="ar-SA"/>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7.1</w:t>
            </w:r>
          </w:p>
        </w:tc>
        <w:tc>
          <w:tcPr>
            <w:tcW w:w="2617"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是否授权评标委员会确定中标人</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rPr>
              <w:t>否，推荐的中标候选人数：推荐最终得分由高到低的次序1-3名中标候选人。公示期满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6"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7.2</w:t>
            </w:r>
          </w:p>
        </w:tc>
        <w:tc>
          <w:tcPr>
            <w:tcW w:w="2617" w:type="dxa"/>
            <w:gridSpan w:val="2"/>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结果公示</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在中标通知书发出前，招标人将中标候选人的情况在本招标项目招标公告发布的同一媒介予以公示，公示期为3个工作日。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6" w:type="dxa"/>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2617" w:type="dxa"/>
            <w:gridSpan w:val="2"/>
            <w:vAlign w:val="center"/>
          </w:tcPr>
          <w:p>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监督单位</w:t>
            </w:r>
          </w:p>
        </w:tc>
        <w:tc>
          <w:tcPr>
            <w:tcW w:w="6379"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Cs w:val="22"/>
                <w:highlight w:val="none"/>
              </w:rPr>
            </w:pPr>
            <w:r>
              <w:rPr>
                <w:rFonts w:hint="eastAsia" w:asciiTheme="minorEastAsia" w:hAnsiTheme="minorEastAsia" w:eastAsiaTheme="minorEastAsia" w:cstheme="minorEastAsia"/>
                <w:color w:val="auto"/>
                <w:kern w:val="0"/>
                <w:szCs w:val="22"/>
                <w:highlight w:val="none"/>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6" w:type="dxa"/>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w:t>
            </w:r>
          </w:p>
        </w:tc>
        <w:tc>
          <w:tcPr>
            <w:tcW w:w="2617"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招标控制价</w:t>
            </w:r>
          </w:p>
        </w:tc>
        <w:tc>
          <w:tcPr>
            <w:tcW w:w="6379" w:type="dxa"/>
            <w:vAlign w:val="center"/>
          </w:tcPr>
          <w:p>
            <w:pPr>
              <w:spacing w:line="44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本项目设置招标控制价，招标控制价如下：</w:t>
            </w:r>
          </w:p>
          <w:p>
            <w:pPr>
              <w:autoSpaceDE w:val="0"/>
              <w:autoSpaceDN w:val="0"/>
              <w:adjustRightInd w:val="0"/>
              <w:spacing w:line="420" w:lineRule="exact"/>
              <w:jc w:val="left"/>
              <w:rPr>
                <w:rFonts w:hint="eastAsia" w:asciiTheme="minorEastAsia" w:hAnsiTheme="minorEastAsia" w:eastAsiaTheme="minorEastAsia" w:cstheme="minorEastAsia"/>
                <w:b/>
                <w:color w:val="auto"/>
                <w:lang w:val="en-US" w:eastAsia="zh-CN"/>
              </w:rPr>
            </w:pPr>
            <w:r>
              <w:rPr>
                <w:rFonts w:hint="eastAsia" w:asciiTheme="minorEastAsia" w:hAnsiTheme="minorEastAsia" w:eastAsiaTheme="minorEastAsia" w:cstheme="minorEastAsia"/>
                <w:b/>
                <w:color w:val="auto"/>
                <w:lang w:eastAsia="zh-CN"/>
              </w:rPr>
              <w:t>沙沃乡</w:t>
            </w:r>
            <w:r>
              <w:rPr>
                <w:rFonts w:hint="eastAsia" w:asciiTheme="minorEastAsia" w:hAnsiTheme="minorEastAsia" w:eastAsiaTheme="minorEastAsia" w:cstheme="minorEastAsia"/>
                <w:b/>
                <w:color w:val="auto"/>
              </w:rPr>
              <w:t>项目区:</w:t>
            </w:r>
            <w:r>
              <w:rPr>
                <w:rFonts w:hint="eastAsia" w:asciiTheme="minorEastAsia" w:hAnsiTheme="minorEastAsia" w:eastAsiaTheme="minorEastAsia" w:cstheme="minorEastAsia"/>
                <w:b/>
                <w:color w:val="auto"/>
                <w:lang w:eastAsia="zh-CN"/>
              </w:rPr>
              <w:t>招标控制价开标前</w:t>
            </w:r>
            <w:r>
              <w:rPr>
                <w:rFonts w:hint="eastAsia" w:asciiTheme="minorEastAsia" w:hAnsiTheme="minorEastAsia" w:eastAsiaTheme="minorEastAsia" w:cstheme="minorEastAsia"/>
                <w:b/>
                <w:color w:val="auto"/>
                <w:lang w:val="en-US" w:eastAsia="zh-CN"/>
              </w:rPr>
              <w:t>7日公布。</w:t>
            </w:r>
          </w:p>
          <w:p>
            <w:pPr>
              <w:autoSpaceDE w:val="0"/>
              <w:autoSpaceDN w:val="0"/>
              <w:adjustRightInd w:val="0"/>
              <w:spacing w:line="42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rPr>
              <w:t>注：投标人报价超过招标控制价的按废标处理。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10.2</w:t>
            </w:r>
          </w:p>
        </w:tc>
        <w:tc>
          <w:tcPr>
            <w:tcW w:w="1530" w:type="dxa"/>
            <w:vAlign w:val="center"/>
          </w:tcPr>
          <w:p>
            <w:pPr>
              <w:spacing w:line="360" w:lineRule="exact"/>
              <w:jc w:val="center"/>
              <w:rPr>
                <w:rFonts w:hint="eastAsia"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其他需要补充的内容</w:t>
            </w:r>
          </w:p>
        </w:tc>
        <w:tc>
          <w:tcPr>
            <w:tcW w:w="7466" w:type="dxa"/>
            <w:gridSpan w:val="2"/>
            <w:vAlign w:val="center"/>
          </w:tcPr>
          <w:p>
            <w:pPr>
              <w:numPr>
                <w:ilvl w:val="0"/>
                <w:numId w:val="1"/>
              </w:numPr>
              <w:spacing w:line="36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投标人应时刻关注发布网站和公司CA密钥推送消息，招标人在招标期间发出的招标文件补充文件、变更、澄清、修改、答疑等，在发出之日起即视同投标人已收到该文件。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10.3</w:t>
            </w:r>
          </w:p>
        </w:tc>
        <w:tc>
          <w:tcPr>
            <w:tcW w:w="8996" w:type="dxa"/>
            <w:gridSpan w:val="3"/>
            <w:vAlign w:val="center"/>
          </w:tcPr>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1"/>
                <w:kern w:val="0"/>
                <w:szCs w:val="21"/>
              </w:rPr>
              <w:t>代理服务费：由中标人在领取中标通知书时以现金方式向招标代理机构缴纳中标价</w:t>
            </w:r>
            <w:r>
              <w:rPr>
                <w:rFonts w:hint="eastAsia" w:asciiTheme="minorEastAsia" w:hAnsiTheme="minorEastAsia" w:eastAsiaTheme="minorEastAsia" w:cstheme="minorEastAsia"/>
                <w:color w:val="auto"/>
                <w:spacing w:val="1"/>
                <w:kern w:val="0"/>
                <w:szCs w:val="21"/>
                <w:lang w:val="en-US" w:eastAsia="zh-CN"/>
              </w:rPr>
              <w:t>1</w:t>
            </w:r>
            <w:r>
              <w:rPr>
                <w:rFonts w:hint="eastAsia" w:asciiTheme="minorEastAsia" w:hAnsiTheme="minorEastAsia" w:eastAsiaTheme="minorEastAsia" w:cstheme="minorEastAsia"/>
                <w:color w:val="auto"/>
                <w:spacing w:val="1"/>
                <w:kern w:val="0"/>
                <w:szCs w:val="21"/>
              </w:rPr>
              <w:t>%（不含税）的代理服务费。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10.4</w:t>
            </w:r>
          </w:p>
        </w:tc>
        <w:tc>
          <w:tcPr>
            <w:tcW w:w="8996" w:type="dxa"/>
            <w:gridSpan w:val="3"/>
            <w:vAlign w:val="center"/>
          </w:tcPr>
          <w:p>
            <w:pPr>
              <w:numPr>
                <w:ilvl w:val="0"/>
                <w:numId w:val="2"/>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投标人必须承诺独立制作、修改和上传投标文件，因“硬件特征码一致”所造成的不良后果由投标人自行承担。</w:t>
            </w:r>
          </w:p>
          <w:p>
            <w:pPr>
              <w:numPr>
                <w:ilvl w:val="0"/>
                <w:numId w:val="2"/>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投标人必须提供由本公司法定代表人签署的投标文件提供内容均真实有效的承诺；</w:t>
            </w:r>
          </w:p>
          <w:p>
            <w:pPr>
              <w:numPr>
                <w:ilvl w:val="0"/>
                <w:numId w:val="2"/>
              </w:numPr>
              <w:spacing w:line="360" w:lineRule="auto"/>
              <w:ind w:left="0" w:leftChars="0" w:firstLine="0" w:firstLineChars="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规定其他内容涉及的“相关原件”不再要求投标单位单独递交，投标人需根据招标文件及投标文件格式要求将原件扫描件附在投标文件中并加盖企业电子签章即可，投标人对其提供的相关证件及资料的真实性负责，其内容清晰可辨，如因此造成的后果由投标单位自行承担。</w:t>
            </w:r>
          </w:p>
          <w:p>
            <w:pPr>
              <w:pStyle w:val="2"/>
              <w:numPr>
                <w:ilvl w:val="0"/>
                <w:numId w:val="2"/>
              </w:numPr>
              <w:spacing w:line="360" w:lineRule="auto"/>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0"/>
                <w:lang w:val="en-US" w:eastAsia="zh-CN" w:bidi="ar-SA"/>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10.5</w:t>
            </w:r>
          </w:p>
        </w:tc>
        <w:tc>
          <w:tcPr>
            <w:tcW w:w="8996" w:type="dxa"/>
            <w:gridSpan w:val="3"/>
            <w:vAlign w:val="center"/>
          </w:tcPr>
          <w:p>
            <w:pPr>
              <w:spacing w:line="3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投标人必须在投标文件中承诺：在施工期内不更换项目经理。否则，其投标将被否决</w:t>
            </w:r>
          </w:p>
          <w:p>
            <w:pPr>
              <w:spacing w:line="3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拟派本项目的项目经理不得有在建项目，并附无在建工程承诺书，否则按无效标处理。</w:t>
            </w:r>
          </w:p>
          <w:p>
            <w:pPr>
              <w:spacing w:line="3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项目经理的任职行为依据豫建{2015}23号文规定执行，若投标人提供虚假资料谋取中标的，一经核实，由招标人取消其中标候选人资格，依据有关法律法规予以追究并处罚。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10.6</w:t>
            </w:r>
          </w:p>
        </w:tc>
        <w:tc>
          <w:tcPr>
            <w:tcW w:w="8996" w:type="dxa"/>
            <w:gridSpan w:val="3"/>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szCs w:val="21"/>
              </w:rPr>
              <w:t>按照本须知第5.1款的规定，招标人邀请所有投标人的法定代表人或其委托代理人参加开标会。投标人的法定代表人或其委托代理人应当按时参加开标会，开标前须向招标人提交法定代表人身份证明文件或法定代表人授权委托书</w:t>
            </w:r>
            <w:r>
              <w:rPr>
                <w:rFonts w:hint="eastAsia" w:asciiTheme="minorEastAsia" w:hAnsiTheme="minorEastAsia" w:eastAsiaTheme="minorEastAsia" w:cstheme="minorEastAsia"/>
                <w:color w:val="auto"/>
                <w:szCs w:val="21"/>
                <w:lang w:eastAsia="zh-CN"/>
              </w:rPr>
              <w:t>，法定代表人授权委托书委托期限不得少于投标有效期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且</w:t>
            </w:r>
            <w:r>
              <w:rPr>
                <w:rFonts w:hint="eastAsia" w:asciiTheme="minorEastAsia" w:hAnsiTheme="minorEastAsia" w:eastAsiaTheme="minorEastAsia" w:cstheme="minorEastAsia"/>
                <w:color w:val="auto"/>
                <w:szCs w:val="21"/>
              </w:rPr>
              <w:t>出示本人身份证，以证明其出席，否则，其投标文件按废标处理。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10.7</w:t>
            </w:r>
          </w:p>
        </w:tc>
        <w:tc>
          <w:tcPr>
            <w:tcW w:w="8996" w:type="dxa"/>
            <w:gridSpan w:val="3"/>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知识产权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构成本招标文件各个组成部分的文件，未经招标人书面同意，投标人不得擅自复印和用于非本招标项目所需的其他目的。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10.8</w:t>
            </w:r>
          </w:p>
        </w:tc>
        <w:tc>
          <w:tcPr>
            <w:tcW w:w="8996" w:type="dxa"/>
            <w:gridSpan w:val="3"/>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10.9</w:t>
            </w:r>
          </w:p>
        </w:tc>
        <w:tc>
          <w:tcPr>
            <w:tcW w:w="8996" w:type="dxa"/>
            <w:gridSpan w:val="3"/>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构成招标文件组成部分的“通用合同条款”、“专用合同条款”和“技术标准和要求”等章节中出现的措辞“发包人”和“承包人”，在招标投标阶段应当分别按“招标人”和“投标人”进行理解。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10.10</w:t>
            </w:r>
          </w:p>
        </w:tc>
        <w:tc>
          <w:tcPr>
            <w:tcW w:w="8996" w:type="dxa"/>
            <w:gridSpan w:val="3"/>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付款</w:t>
            </w:r>
          </w:p>
          <w:p>
            <w:pPr>
              <w:autoSpaceDE w:val="0"/>
              <w:autoSpaceDN w:val="0"/>
              <w:adjustRightInd w:val="0"/>
              <w:spacing w:line="420" w:lineRule="exact"/>
              <w:jc w:val="left"/>
              <w:rPr>
                <w:rFonts w:hint="default"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方式</w:t>
            </w:r>
          </w:p>
        </w:tc>
        <w:tc>
          <w:tcPr>
            <w:tcW w:w="8996" w:type="dxa"/>
            <w:gridSpan w:val="3"/>
            <w:vAlign w:val="center"/>
          </w:tcPr>
          <w:p>
            <w:pPr>
              <w:autoSpaceDE w:val="0"/>
              <w:autoSpaceDN w:val="0"/>
              <w:adjustRightInd w:val="0"/>
              <w:spacing w:line="420" w:lineRule="exact"/>
              <w:jc w:val="left"/>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进场完成工程量的30%付20%，完工后付60%，竣工验收合格并通过竣工审计后付17%，余3%竣工验收合格一年后一次性付清。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842" w:type="dxa"/>
            <w:gridSpan w:val="4"/>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lang w:eastAsia="zh-CN"/>
              </w:rPr>
              <w:t>招标</w:t>
            </w:r>
            <w:r>
              <w:rPr>
                <w:rFonts w:hint="eastAsia" w:asciiTheme="minorEastAsia" w:hAnsiTheme="minorEastAsia" w:eastAsiaTheme="minorEastAsia" w:cstheme="minorEastAsia"/>
                <w:color w:val="auto"/>
              </w:rPr>
              <w:t>人只对中标人发出书面通知，对未中标人不作任何解释。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842" w:type="dxa"/>
            <w:gridSpan w:val="4"/>
            <w:vAlign w:val="center"/>
          </w:tcPr>
          <w:p>
            <w:pPr>
              <w:autoSpaceDE w:val="0"/>
              <w:autoSpaceDN w:val="0"/>
              <w:adjustRightInd w:val="0"/>
              <w:spacing w:line="42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未尽事宜，按国家有关法律、法规执行。</w:t>
            </w:r>
          </w:p>
        </w:tc>
      </w:tr>
    </w:tbl>
    <w:p>
      <w:pPr>
        <w:jc w:val="left"/>
        <w:rPr>
          <w:rFonts w:ascii="宋体" w:hAnsi="宋体"/>
          <w:bCs/>
          <w:color w:val="auto"/>
          <w:sz w:val="24"/>
        </w:rPr>
        <w:sectPr>
          <w:footerReference r:id="rId15" w:type="first"/>
          <w:footerReference r:id="rId14" w:type="default"/>
          <w:pgSz w:w="11906" w:h="16838"/>
          <w:pgMar w:top="1134" w:right="1417" w:bottom="1134" w:left="1417" w:header="851" w:footer="992" w:gutter="0"/>
          <w:cols w:space="720" w:num="1"/>
          <w:titlePg/>
          <w:docGrid w:linePitch="312" w:charSpace="0"/>
        </w:sectPr>
      </w:pPr>
      <w:bookmarkStart w:id="54" w:name="_Toc321472287"/>
      <w:bookmarkStart w:id="55" w:name="_Toc364341500"/>
    </w:p>
    <w:p>
      <w:pPr>
        <w:spacing w:before="120" w:after="120" w:line="360" w:lineRule="auto"/>
        <w:jc w:val="left"/>
        <w:rPr>
          <w:rFonts w:ascii="宋体" w:hAnsi="宋体"/>
          <w:bCs/>
          <w:color w:val="auto"/>
          <w:sz w:val="24"/>
        </w:rPr>
      </w:pPr>
      <w:bookmarkStart w:id="56" w:name="_Toc407441974"/>
      <w:bookmarkStart w:id="57" w:name="_Toc519168273"/>
      <w:bookmarkStart w:id="58" w:name="_Toc407441829"/>
      <w:r>
        <w:rPr>
          <w:rFonts w:hint="eastAsia" w:ascii="宋体" w:hAnsi="宋体"/>
          <w:bCs/>
          <w:color w:val="auto"/>
          <w:sz w:val="24"/>
        </w:rPr>
        <w:t>1. 总则</w:t>
      </w:r>
      <w:bookmarkEnd w:id="34"/>
      <w:bookmarkEnd w:id="35"/>
      <w:bookmarkEnd w:id="36"/>
      <w:bookmarkEnd w:id="37"/>
      <w:bookmarkEnd w:id="38"/>
      <w:bookmarkEnd w:id="39"/>
      <w:bookmarkEnd w:id="40"/>
      <w:bookmarkEnd w:id="41"/>
      <w:bookmarkEnd w:id="54"/>
      <w:bookmarkEnd w:id="55"/>
      <w:bookmarkEnd w:id="56"/>
      <w:bookmarkEnd w:id="57"/>
      <w:bookmarkEnd w:id="58"/>
    </w:p>
    <w:p>
      <w:pPr>
        <w:autoSpaceDE w:val="0"/>
        <w:autoSpaceDN w:val="0"/>
        <w:adjustRightInd w:val="0"/>
        <w:spacing w:line="420" w:lineRule="exact"/>
        <w:jc w:val="left"/>
        <w:rPr>
          <w:rFonts w:ascii="宋体" w:hAnsi="宋体"/>
          <w:color w:val="auto"/>
          <w:kern w:val="0"/>
          <w:szCs w:val="21"/>
        </w:rPr>
      </w:pPr>
      <w:bookmarkStart w:id="59" w:name="_Toc364341239"/>
      <w:bookmarkStart w:id="60" w:name="_Toc327565108"/>
      <w:bookmarkStart w:id="61" w:name="_Toc214433861"/>
      <w:bookmarkStart w:id="62" w:name="_Toc519168274"/>
      <w:bookmarkStart w:id="63" w:name="_Toc227657461"/>
      <w:bookmarkStart w:id="64" w:name="_Toc407441830"/>
      <w:bookmarkStart w:id="65" w:name="_Toc407441975"/>
      <w:bookmarkStart w:id="66" w:name="_Toc327599831"/>
      <w:bookmarkStart w:id="67" w:name="_Toc364341501"/>
      <w:bookmarkStart w:id="68" w:name="_Toc321472028"/>
      <w:bookmarkStart w:id="69" w:name="_Toc228591631"/>
      <w:bookmarkStart w:id="70" w:name="_Toc228337072"/>
      <w:bookmarkStart w:id="71" w:name="_Toc227492218"/>
      <w:bookmarkStart w:id="72" w:name="_Toc228881135"/>
      <w:bookmarkStart w:id="73" w:name="_Toc228591483"/>
      <w:bookmarkStart w:id="74" w:name="_Toc321472288"/>
      <w:bookmarkStart w:id="75" w:name="_Toc228589137"/>
      <w:r>
        <w:rPr>
          <w:rFonts w:hint="eastAsia" w:ascii="宋体" w:hAnsi="宋体"/>
          <w:color w:val="auto"/>
          <w:kern w:val="0"/>
          <w:szCs w:val="21"/>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1.1.1 根据《中华人民共和国招标投标法》、《中华人民共和国招标投标法实施条例》等有关法律、法规和规章的规定，本招标项目已具备招标条件，现对本项目进行招标。</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1.1.2 本项目招标人：见投标人须知前附表。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1.1.3 本项目招标代理机构：见投标人须知前附表。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1.1.4 本招标项目名称：见投标人须知前附表。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1.1.5 本项目建设地点：见投标人须知前附表。</w:t>
      </w:r>
    </w:p>
    <w:p>
      <w:pPr>
        <w:autoSpaceDE w:val="0"/>
        <w:autoSpaceDN w:val="0"/>
        <w:adjustRightInd w:val="0"/>
        <w:spacing w:line="420" w:lineRule="exact"/>
        <w:jc w:val="left"/>
        <w:rPr>
          <w:rFonts w:ascii="宋体" w:hAnsi="宋体"/>
          <w:color w:val="auto"/>
          <w:kern w:val="0"/>
          <w:szCs w:val="21"/>
        </w:rPr>
      </w:pPr>
      <w:bookmarkStart w:id="76" w:name="_Toc407441976"/>
      <w:bookmarkStart w:id="77" w:name="_Toc364341502"/>
      <w:bookmarkStart w:id="78" w:name="_Toc407441831"/>
      <w:bookmarkStart w:id="79" w:name="_Toc519168275"/>
      <w:bookmarkStart w:id="80" w:name="_Toc227657462"/>
      <w:bookmarkStart w:id="81" w:name="_Toc228591484"/>
      <w:bookmarkStart w:id="82" w:name="_Toc214433862"/>
      <w:bookmarkStart w:id="83" w:name="_Toc321472289"/>
      <w:bookmarkStart w:id="84" w:name="_Toc327599832"/>
      <w:bookmarkStart w:id="85" w:name="_Toc228591632"/>
      <w:bookmarkStart w:id="86" w:name="_Toc327565109"/>
      <w:bookmarkStart w:id="87" w:name="_Toc321472029"/>
      <w:bookmarkStart w:id="88" w:name="_Toc364341240"/>
      <w:bookmarkStart w:id="89" w:name="_Toc228337073"/>
      <w:bookmarkStart w:id="90" w:name="_Toc228881136"/>
      <w:bookmarkStart w:id="91" w:name="_Toc228589138"/>
      <w:bookmarkStart w:id="92" w:name="_Toc227492219"/>
      <w:r>
        <w:rPr>
          <w:rFonts w:hint="eastAsia" w:ascii="宋体" w:hAnsi="宋体"/>
          <w:color w:val="auto"/>
          <w:kern w:val="0"/>
          <w:szCs w:val="21"/>
        </w:rPr>
        <w:t>1.2 资金来源和落实情况</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1.2.1 本招标项目的资金来源：见投标人须知前附表。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1.2.2 本招标项目的资金落实情况：见投标人须知前附表。</w:t>
      </w:r>
    </w:p>
    <w:p>
      <w:pPr>
        <w:autoSpaceDE w:val="0"/>
        <w:autoSpaceDN w:val="0"/>
        <w:adjustRightInd w:val="0"/>
        <w:spacing w:line="420" w:lineRule="exact"/>
        <w:jc w:val="left"/>
        <w:rPr>
          <w:rFonts w:ascii="宋体" w:hAnsi="宋体"/>
          <w:color w:val="auto"/>
          <w:kern w:val="0"/>
          <w:szCs w:val="21"/>
        </w:rPr>
      </w:pPr>
      <w:bookmarkStart w:id="93" w:name="_Toc214433863"/>
      <w:bookmarkStart w:id="94" w:name="_Toc364341503"/>
      <w:bookmarkStart w:id="95" w:name="_Toc321472030"/>
      <w:bookmarkStart w:id="96" w:name="_Toc228337074"/>
      <w:bookmarkStart w:id="97" w:name="_Toc364341241"/>
      <w:bookmarkStart w:id="98" w:name="_Toc228589139"/>
      <w:bookmarkStart w:id="99" w:name="_Toc327565110"/>
      <w:bookmarkStart w:id="100" w:name="_Toc227657463"/>
      <w:bookmarkStart w:id="101" w:name="_Toc519168276"/>
      <w:bookmarkStart w:id="102" w:name="_Toc228591485"/>
      <w:bookmarkStart w:id="103" w:name="_Toc227492220"/>
      <w:bookmarkStart w:id="104" w:name="_Toc407441977"/>
      <w:bookmarkStart w:id="105" w:name="_Toc228881137"/>
      <w:bookmarkStart w:id="106" w:name="_Toc407441832"/>
      <w:bookmarkStart w:id="107" w:name="_Toc228591633"/>
      <w:bookmarkStart w:id="108" w:name="_Toc327599833"/>
      <w:bookmarkStart w:id="109" w:name="_Toc321472290"/>
      <w:r>
        <w:rPr>
          <w:rFonts w:hint="eastAsia" w:ascii="宋体" w:hAnsi="宋体"/>
          <w:color w:val="auto"/>
          <w:kern w:val="0"/>
          <w:szCs w:val="21"/>
        </w:rPr>
        <w:t>1.3 招标范围、计划工期和质量要求</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1.3.1 本次招标范围：见投标人须知前附表。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1.3.2 本项目的计划工期：见投标人须知前附表。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1.3.3 本项目的质量要求：见投标人须知前附表。</w:t>
      </w:r>
    </w:p>
    <w:p>
      <w:pPr>
        <w:autoSpaceDE w:val="0"/>
        <w:autoSpaceDN w:val="0"/>
        <w:adjustRightInd w:val="0"/>
        <w:spacing w:line="420" w:lineRule="exact"/>
        <w:jc w:val="left"/>
        <w:rPr>
          <w:rFonts w:ascii="宋体" w:hAnsi="宋体"/>
          <w:color w:val="auto"/>
          <w:kern w:val="0"/>
          <w:szCs w:val="21"/>
        </w:rPr>
      </w:pPr>
      <w:bookmarkStart w:id="110" w:name="_Toc327565111"/>
      <w:bookmarkStart w:id="111" w:name="_Toc321472031"/>
      <w:bookmarkStart w:id="112" w:name="_Toc327599834"/>
      <w:bookmarkStart w:id="113" w:name="_Toc519168277"/>
      <w:bookmarkStart w:id="114" w:name="_Toc407441833"/>
      <w:bookmarkStart w:id="115" w:name="_Toc364341504"/>
      <w:bookmarkStart w:id="116" w:name="_Toc364341242"/>
      <w:bookmarkStart w:id="117" w:name="_Toc321472291"/>
      <w:bookmarkStart w:id="118" w:name="_Toc407441978"/>
      <w:r>
        <w:rPr>
          <w:rFonts w:hint="eastAsia" w:ascii="宋体" w:hAnsi="宋体"/>
          <w:color w:val="auto"/>
          <w:kern w:val="0"/>
          <w:szCs w:val="21"/>
        </w:rPr>
        <w:t>1.4 投标人资格要求</w:t>
      </w:r>
      <w:bookmarkEnd w:id="110"/>
      <w:bookmarkEnd w:id="111"/>
      <w:bookmarkEnd w:id="112"/>
      <w:bookmarkEnd w:id="113"/>
      <w:bookmarkEnd w:id="114"/>
      <w:bookmarkEnd w:id="115"/>
      <w:bookmarkEnd w:id="116"/>
      <w:bookmarkEnd w:id="117"/>
      <w:bookmarkEnd w:id="118"/>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1.4.1 投标人应具备承担本项目施工的资质条件和能力。</w:t>
      </w:r>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（1）资质条件：见投标人须知前附表；</w:t>
      </w:r>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（2）项目经理资格：见投标人须知前附表；</w:t>
      </w:r>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（3）其他要求：见投标人须知前附表。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1.4.2 投标人须知前附表规定接受联合体投标的，除应符合本章第1.4.1 项和投标人须知前附表的要求外，还应遵守以下规定：</w:t>
      </w:r>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（1）联合体各方应按招标文件提供的格式签订联合体协议书，明确联合体牵头人和各方权利义务；</w:t>
      </w:r>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（2）由同一专业的单位组成的联合体，按照资质等级较低的单位确定资质等级；</w:t>
      </w:r>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（3）联合体各方不得再以自己名义单独或参加其他联合体在同一标段中投标。</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1.4.3 投标人不得存在下列情形之一：</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（1）为招标人不具有独立法人资格的附属机构（单位）；</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（2）为本标段前期准备提供设计或咨询服务的，但设计施工总承包的除外；</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（3）为本标段的监理人；</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（4）为本标段的代建人；</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（5）为本标段提供招标代理服务的；</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（6）与本标段的监理人或代建人或招标代理机构同为一个法定代表人的；</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（7）与本标段的监理人或代建人或招标代理机构相互控股或参股的；</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（8）与本标段的监理人或代建人或招标代理机构相互任职或工作的；</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（9）在最近三年内被责令停业或行政处罚的；</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（10）在最近三年内被暂停或取消投标资格的；</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（11）财产被接管或冻结的；</w:t>
      </w:r>
    </w:p>
    <w:p>
      <w:pPr>
        <w:autoSpaceDE w:val="0"/>
        <w:autoSpaceDN w:val="0"/>
        <w:adjustRightInd w:val="0"/>
        <w:spacing w:line="420" w:lineRule="exact"/>
        <w:ind w:firstLine="1079" w:firstLineChars="514"/>
        <w:jc w:val="left"/>
        <w:rPr>
          <w:rFonts w:ascii="宋体" w:hAnsi="宋体"/>
          <w:color w:val="auto"/>
          <w:kern w:val="0"/>
          <w:szCs w:val="21"/>
        </w:rPr>
      </w:pPr>
      <w:r>
        <w:rPr>
          <w:rFonts w:hint="eastAsia" w:ascii="宋体" w:hAnsi="宋体"/>
          <w:color w:val="auto"/>
          <w:kern w:val="0"/>
          <w:szCs w:val="21"/>
        </w:rPr>
        <w:t>（12）在最近三年内有骗取中标或严重违约或重大工程质量问题的；</w:t>
      </w:r>
    </w:p>
    <w:p>
      <w:pPr>
        <w:autoSpaceDE w:val="0"/>
        <w:autoSpaceDN w:val="0"/>
        <w:adjustRightInd w:val="0"/>
        <w:spacing w:line="420" w:lineRule="exact"/>
        <w:ind w:left="1701" w:leftChars="560" w:hanging="525" w:hangingChars="250"/>
        <w:jc w:val="left"/>
        <w:rPr>
          <w:rFonts w:ascii="宋体" w:hAnsi="宋体"/>
          <w:color w:val="auto"/>
          <w:kern w:val="0"/>
          <w:szCs w:val="21"/>
        </w:rPr>
      </w:pPr>
      <w:r>
        <w:rPr>
          <w:rFonts w:hint="eastAsia" w:ascii="宋体" w:hAnsi="宋体"/>
          <w:color w:val="auto"/>
          <w:kern w:val="0"/>
          <w:szCs w:val="21"/>
        </w:rPr>
        <w:t>(13)</w:t>
      </w:r>
      <w:r>
        <w:rPr>
          <w:rFonts w:hint="eastAsia"/>
          <w:color w:val="auto"/>
        </w:rPr>
        <w:t xml:space="preserve"> </w:t>
      </w:r>
      <w:r>
        <w:rPr>
          <w:rFonts w:hint="eastAsia" w:ascii="宋体" w:hAnsi="宋体"/>
          <w:color w:val="auto"/>
          <w:kern w:val="0"/>
          <w:szCs w:val="21"/>
        </w:rPr>
        <w:t>被最高人民法院在“信用中国”网站（www.creditchina.gov.cn）或各级信用信息共享平台中列入失信被执行人名单。</w:t>
      </w:r>
    </w:p>
    <w:p>
      <w:pPr>
        <w:autoSpaceDE w:val="0"/>
        <w:autoSpaceDN w:val="0"/>
        <w:adjustRightInd w:val="0"/>
        <w:spacing w:line="420" w:lineRule="exact"/>
        <w:jc w:val="left"/>
        <w:rPr>
          <w:rFonts w:ascii="宋体" w:hAnsi="宋体"/>
          <w:color w:val="auto"/>
          <w:kern w:val="0"/>
          <w:szCs w:val="21"/>
        </w:rPr>
      </w:pPr>
      <w:bookmarkStart w:id="119" w:name="_Toc228589141"/>
      <w:bookmarkStart w:id="120" w:name="_Toc227657465"/>
      <w:bookmarkStart w:id="121" w:name="_Toc321472292"/>
      <w:bookmarkStart w:id="122" w:name="_Toc227492222"/>
      <w:bookmarkStart w:id="123" w:name="_Toc364341505"/>
      <w:bookmarkStart w:id="124" w:name="_Toc407441979"/>
      <w:bookmarkStart w:id="125" w:name="_Toc214433865"/>
      <w:bookmarkStart w:id="126" w:name="_Toc228591635"/>
      <w:bookmarkStart w:id="127" w:name="_Toc228881139"/>
      <w:bookmarkStart w:id="128" w:name="_Toc364341243"/>
      <w:bookmarkStart w:id="129" w:name="_Toc321472032"/>
      <w:bookmarkStart w:id="130" w:name="_Toc407441834"/>
      <w:bookmarkStart w:id="131" w:name="_Toc327599835"/>
      <w:bookmarkStart w:id="132" w:name="_Toc228337076"/>
      <w:bookmarkStart w:id="133" w:name="_Toc228591487"/>
      <w:bookmarkStart w:id="134" w:name="_Toc327565112"/>
      <w:bookmarkStart w:id="135" w:name="_Toc519168278"/>
      <w:r>
        <w:rPr>
          <w:rFonts w:hint="eastAsia" w:ascii="宋体" w:hAnsi="宋体"/>
          <w:color w:val="auto"/>
          <w:kern w:val="0"/>
          <w:szCs w:val="21"/>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投标人准备和参加投标活动发生的费用自理。</w:t>
      </w:r>
    </w:p>
    <w:p>
      <w:pPr>
        <w:autoSpaceDE w:val="0"/>
        <w:autoSpaceDN w:val="0"/>
        <w:adjustRightInd w:val="0"/>
        <w:spacing w:line="420" w:lineRule="exact"/>
        <w:jc w:val="left"/>
        <w:rPr>
          <w:rFonts w:ascii="宋体" w:hAnsi="宋体"/>
          <w:color w:val="auto"/>
          <w:kern w:val="0"/>
          <w:szCs w:val="21"/>
        </w:rPr>
      </w:pPr>
      <w:bookmarkStart w:id="136" w:name="_Toc327599836"/>
      <w:bookmarkStart w:id="137" w:name="_Toc227657466"/>
      <w:bookmarkStart w:id="138" w:name="_Toc364341244"/>
      <w:bookmarkStart w:id="139" w:name="_Toc327565113"/>
      <w:bookmarkStart w:id="140" w:name="_Toc228591488"/>
      <w:bookmarkStart w:id="141" w:name="_Toc228589142"/>
      <w:bookmarkStart w:id="142" w:name="_Toc519168279"/>
      <w:bookmarkStart w:id="143" w:name="_Toc227492223"/>
      <w:bookmarkStart w:id="144" w:name="_Toc364341506"/>
      <w:bookmarkStart w:id="145" w:name="_Toc228591636"/>
      <w:bookmarkStart w:id="146" w:name="_Toc407441835"/>
      <w:bookmarkStart w:id="147" w:name="_Toc228881140"/>
      <w:bookmarkStart w:id="148" w:name="_Toc407441980"/>
      <w:bookmarkStart w:id="149" w:name="_Toc321472033"/>
      <w:bookmarkStart w:id="150" w:name="_Toc214433866"/>
      <w:bookmarkStart w:id="151" w:name="_Toc228337077"/>
      <w:bookmarkStart w:id="152" w:name="_Toc321472293"/>
      <w:r>
        <w:rPr>
          <w:rFonts w:hint="eastAsia" w:ascii="宋体" w:hAnsi="宋体"/>
          <w:color w:val="auto"/>
          <w:kern w:val="0"/>
          <w:szCs w:val="21"/>
        </w:rPr>
        <w:t>1.6 保密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参与招标投标活动的各方应对招标文件和投标文件中的商业和技术等秘密保密，违者应对由此造成的后果承担法律责任。</w:t>
      </w:r>
    </w:p>
    <w:p>
      <w:pPr>
        <w:autoSpaceDE w:val="0"/>
        <w:autoSpaceDN w:val="0"/>
        <w:adjustRightInd w:val="0"/>
        <w:spacing w:line="420" w:lineRule="exact"/>
        <w:jc w:val="left"/>
        <w:rPr>
          <w:rFonts w:ascii="宋体" w:hAnsi="宋体"/>
          <w:color w:val="auto"/>
          <w:kern w:val="0"/>
          <w:szCs w:val="21"/>
        </w:rPr>
      </w:pPr>
      <w:bookmarkStart w:id="153" w:name="_Toc364341507"/>
      <w:bookmarkStart w:id="154" w:name="_Toc321472034"/>
      <w:bookmarkStart w:id="155" w:name="_Toc519168280"/>
      <w:bookmarkStart w:id="156" w:name="_Toc228591489"/>
      <w:bookmarkStart w:id="157" w:name="_Toc228591637"/>
      <w:bookmarkStart w:id="158" w:name="_Toc227492224"/>
      <w:bookmarkStart w:id="159" w:name="_Toc327599837"/>
      <w:bookmarkStart w:id="160" w:name="_Toc407441981"/>
      <w:bookmarkStart w:id="161" w:name="_Toc407441836"/>
      <w:bookmarkStart w:id="162" w:name="_Toc228337078"/>
      <w:bookmarkStart w:id="163" w:name="_Toc364341245"/>
      <w:bookmarkStart w:id="164" w:name="_Toc321472294"/>
      <w:bookmarkStart w:id="165" w:name="_Toc214433867"/>
      <w:bookmarkStart w:id="166" w:name="_Toc228589143"/>
      <w:bookmarkStart w:id="167" w:name="_Toc228881141"/>
      <w:bookmarkStart w:id="168" w:name="_Toc227657467"/>
      <w:bookmarkStart w:id="169" w:name="_Toc327565114"/>
      <w:r>
        <w:rPr>
          <w:rFonts w:hint="eastAsia" w:ascii="宋体" w:hAnsi="宋体"/>
          <w:color w:val="auto"/>
          <w:kern w:val="0"/>
          <w:szCs w:val="21"/>
        </w:rPr>
        <w:t>1.7 语言文字</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除专用术语外，与招标投标有关的语言均使用中文。必要时专用术语应附有中文注释。</w:t>
      </w:r>
    </w:p>
    <w:p>
      <w:pPr>
        <w:autoSpaceDE w:val="0"/>
        <w:autoSpaceDN w:val="0"/>
        <w:adjustRightInd w:val="0"/>
        <w:spacing w:line="420" w:lineRule="exact"/>
        <w:jc w:val="left"/>
        <w:rPr>
          <w:rFonts w:ascii="宋体" w:hAnsi="宋体"/>
          <w:color w:val="auto"/>
          <w:kern w:val="0"/>
          <w:szCs w:val="21"/>
        </w:rPr>
      </w:pPr>
      <w:bookmarkStart w:id="170" w:name="_Toc214433868"/>
      <w:bookmarkStart w:id="171" w:name="_Toc364341508"/>
      <w:bookmarkStart w:id="172" w:name="_Toc228337079"/>
      <w:bookmarkStart w:id="173" w:name="_Toc327599838"/>
      <w:bookmarkStart w:id="174" w:name="_Toc407441837"/>
      <w:bookmarkStart w:id="175" w:name="_Toc321472295"/>
      <w:bookmarkStart w:id="176" w:name="_Toc227492225"/>
      <w:bookmarkStart w:id="177" w:name="_Toc407441982"/>
      <w:bookmarkStart w:id="178" w:name="_Toc321472035"/>
      <w:bookmarkStart w:id="179" w:name="_Toc228591490"/>
      <w:bookmarkStart w:id="180" w:name="_Toc327565115"/>
      <w:bookmarkStart w:id="181" w:name="_Toc364341246"/>
      <w:bookmarkStart w:id="182" w:name="_Toc228589144"/>
      <w:bookmarkStart w:id="183" w:name="_Toc228591638"/>
      <w:bookmarkStart w:id="184" w:name="_Toc519168281"/>
      <w:bookmarkStart w:id="185" w:name="_Toc228881142"/>
      <w:bookmarkStart w:id="186" w:name="_Toc227657468"/>
      <w:r>
        <w:rPr>
          <w:rFonts w:hint="eastAsia" w:ascii="宋体" w:hAnsi="宋体"/>
          <w:color w:val="auto"/>
          <w:kern w:val="0"/>
          <w:szCs w:val="21"/>
        </w:rPr>
        <w:t>1.8 计量单位</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所有计量均采用中华人民共和国法定计量单位。</w:t>
      </w:r>
    </w:p>
    <w:p>
      <w:pPr>
        <w:autoSpaceDE w:val="0"/>
        <w:autoSpaceDN w:val="0"/>
        <w:adjustRightInd w:val="0"/>
        <w:spacing w:line="420" w:lineRule="exact"/>
        <w:jc w:val="left"/>
        <w:rPr>
          <w:rFonts w:ascii="宋体" w:hAnsi="宋体"/>
          <w:color w:val="auto"/>
          <w:kern w:val="0"/>
          <w:szCs w:val="21"/>
        </w:rPr>
      </w:pPr>
      <w:bookmarkStart w:id="187" w:name="_Toc228591639"/>
      <w:bookmarkStart w:id="188" w:name="_Toc407441983"/>
      <w:bookmarkStart w:id="189" w:name="_Toc327565116"/>
      <w:bookmarkStart w:id="190" w:name="_Toc228591491"/>
      <w:bookmarkStart w:id="191" w:name="_Toc364341509"/>
      <w:bookmarkStart w:id="192" w:name="_Toc519168282"/>
      <w:bookmarkStart w:id="193" w:name="_Toc321472036"/>
      <w:bookmarkStart w:id="194" w:name="_Toc327599839"/>
      <w:bookmarkStart w:id="195" w:name="_Toc407441838"/>
      <w:bookmarkStart w:id="196" w:name="_Toc228881143"/>
      <w:bookmarkStart w:id="197" w:name="_Toc364341247"/>
      <w:bookmarkStart w:id="198" w:name="_Toc321472296"/>
      <w:bookmarkStart w:id="199" w:name="_Toc227492226"/>
      <w:bookmarkStart w:id="200" w:name="_Toc228337080"/>
      <w:bookmarkStart w:id="201" w:name="_Toc214433869"/>
      <w:bookmarkStart w:id="202" w:name="_Toc228589145"/>
      <w:bookmarkStart w:id="203" w:name="_Toc227657469"/>
      <w:r>
        <w:rPr>
          <w:rFonts w:hint="eastAsia" w:ascii="宋体" w:hAnsi="宋体"/>
          <w:color w:val="auto"/>
          <w:kern w:val="0"/>
          <w:szCs w:val="21"/>
        </w:rPr>
        <w:t>1.9 踏勘现场</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1.9.1 投标人须知前附表规定组织踏勘现场的，招标人按投标人须知前附表规定的时间、地点组织投标人踏勘项目现场。</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1.9.2 投标人踏勘现场发生的费用自理。</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1.9.3 除招标人的原因外，投标人自行负责在踏勘现场中所发生的人员伤亡和财产损失。</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1.9.4 招标人在踏勘现场中介绍的工程场地和相关的周边环境情况，供投标人在编制投标文件时参考，招标人不对投标人据此作出的判断和决策负责。</w:t>
      </w:r>
    </w:p>
    <w:p>
      <w:pPr>
        <w:autoSpaceDE w:val="0"/>
        <w:autoSpaceDN w:val="0"/>
        <w:adjustRightInd w:val="0"/>
        <w:spacing w:line="420" w:lineRule="exact"/>
        <w:jc w:val="left"/>
        <w:rPr>
          <w:rFonts w:ascii="宋体" w:hAnsi="宋体"/>
          <w:color w:val="auto"/>
          <w:kern w:val="0"/>
          <w:szCs w:val="21"/>
        </w:rPr>
      </w:pPr>
      <w:bookmarkStart w:id="204" w:name="_Toc214433870"/>
      <w:bookmarkStart w:id="205" w:name="_Toc364341248"/>
      <w:bookmarkStart w:id="206" w:name="_Toc407441839"/>
      <w:bookmarkStart w:id="207" w:name="_Toc364341510"/>
      <w:bookmarkStart w:id="208" w:name="_Toc519168283"/>
      <w:bookmarkStart w:id="209" w:name="_Toc327599840"/>
      <w:bookmarkStart w:id="210" w:name="_Toc407441984"/>
      <w:bookmarkStart w:id="211" w:name="_Toc227657470"/>
      <w:bookmarkStart w:id="212" w:name="_Toc227492227"/>
      <w:bookmarkStart w:id="213" w:name="_Toc321472297"/>
      <w:bookmarkStart w:id="214" w:name="_Toc228881144"/>
      <w:bookmarkStart w:id="215" w:name="_Toc228589146"/>
      <w:bookmarkStart w:id="216" w:name="_Toc321472037"/>
      <w:bookmarkStart w:id="217" w:name="_Toc327565117"/>
      <w:bookmarkStart w:id="218" w:name="_Toc228591640"/>
      <w:bookmarkStart w:id="219" w:name="_Toc228591492"/>
      <w:bookmarkStart w:id="220" w:name="_Toc228337081"/>
      <w:r>
        <w:rPr>
          <w:rFonts w:hint="eastAsia" w:ascii="宋体" w:hAnsi="宋体"/>
          <w:color w:val="auto"/>
          <w:kern w:val="0"/>
          <w:szCs w:val="21"/>
        </w:rPr>
        <w:t>1.10 投标预备会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1.10.2 投标人应在投标人须知前附表规定的时间前，以书面形式将提出的问题送达招标人，以便招标人在会议期间澄清。</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1.10.3 投标预备会后，招标人在投标人须知前附表规定的时间内，将对投标人所提问题的澄清，以书面方式通知所有购买招标文件的投标人。该澄清内容为招标文件的组成部分。</w:t>
      </w:r>
    </w:p>
    <w:p>
      <w:pPr>
        <w:autoSpaceDE w:val="0"/>
        <w:autoSpaceDN w:val="0"/>
        <w:adjustRightInd w:val="0"/>
        <w:spacing w:line="420" w:lineRule="exact"/>
        <w:jc w:val="left"/>
        <w:rPr>
          <w:rFonts w:ascii="宋体" w:hAnsi="宋体"/>
          <w:color w:val="auto"/>
          <w:kern w:val="0"/>
          <w:szCs w:val="21"/>
        </w:rPr>
      </w:pPr>
      <w:bookmarkStart w:id="221" w:name="_Toc228881145"/>
      <w:bookmarkStart w:id="222" w:name="_Toc327599841"/>
      <w:bookmarkStart w:id="223" w:name="_Toc227492228"/>
      <w:bookmarkStart w:id="224" w:name="_Toc327565118"/>
      <w:bookmarkStart w:id="225" w:name="_Toc228337082"/>
      <w:bookmarkStart w:id="226" w:name="_Toc321472038"/>
      <w:bookmarkStart w:id="227" w:name="_Toc227657471"/>
      <w:bookmarkStart w:id="228" w:name="_Toc228589147"/>
      <w:bookmarkStart w:id="229" w:name="_Toc321472298"/>
      <w:bookmarkStart w:id="230" w:name="_Toc519168284"/>
      <w:bookmarkStart w:id="231" w:name="_Toc228591641"/>
      <w:bookmarkStart w:id="232" w:name="_Toc364341249"/>
      <w:bookmarkStart w:id="233" w:name="_Toc214433871"/>
      <w:bookmarkStart w:id="234" w:name="_Toc407441985"/>
      <w:bookmarkStart w:id="235" w:name="_Toc407441840"/>
      <w:bookmarkStart w:id="236" w:name="_Toc228591493"/>
      <w:bookmarkStart w:id="237" w:name="_Toc364341511"/>
      <w:r>
        <w:rPr>
          <w:rFonts w:hint="eastAsia" w:ascii="宋体" w:hAnsi="宋体"/>
          <w:color w:val="auto"/>
          <w:kern w:val="0"/>
          <w:szCs w:val="21"/>
        </w:rPr>
        <w:t>1.11 分包</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autoSpaceDE w:val="0"/>
        <w:autoSpaceDN w:val="0"/>
        <w:adjustRightInd w:val="0"/>
        <w:spacing w:line="420" w:lineRule="exact"/>
        <w:jc w:val="left"/>
        <w:rPr>
          <w:rFonts w:ascii="宋体" w:hAnsi="宋体"/>
          <w:color w:val="auto"/>
          <w:kern w:val="0"/>
          <w:szCs w:val="21"/>
        </w:rPr>
      </w:pPr>
      <w:bookmarkStart w:id="238" w:name="_Toc519168285"/>
      <w:bookmarkStart w:id="239" w:name="_Toc407441841"/>
      <w:bookmarkStart w:id="240" w:name="_Toc407441986"/>
      <w:bookmarkStart w:id="241" w:name="_Toc364341250"/>
      <w:bookmarkStart w:id="242" w:name="_Toc228589148"/>
      <w:bookmarkStart w:id="243" w:name="_Toc321472039"/>
      <w:bookmarkStart w:id="244" w:name="_Toc327565119"/>
      <w:bookmarkStart w:id="245" w:name="_Toc364341512"/>
      <w:bookmarkStart w:id="246" w:name="_Toc227657472"/>
      <w:bookmarkStart w:id="247" w:name="_Toc227492229"/>
      <w:bookmarkStart w:id="248" w:name="_Toc327599842"/>
      <w:bookmarkStart w:id="249" w:name="_Toc228591494"/>
      <w:bookmarkStart w:id="250" w:name="_Toc228881146"/>
      <w:bookmarkStart w:id="251" w:name="_Toc214433872"/>
      <w:bookmarkStart w:id="252" w:name="_Toc321472299"/>
      <w:bookmarkStart w:id="253" w:name="_Toc228591642"/>
      <w:bookmarkStart w:id="254" w:name="_Toc228337083"/>
      <w:r>
        <w:rPr>
          <w:rFonts w:hint="eastAsia" w:ascii="宋体" w:hAnsi="宋体"/>
          <w:color w:val="auto"/>
          <w:kern w:val="0"/>
          <w:szCs w:val="21"/>
        </w:rPr>
        <w:t>不允许</w:t>
      </w:r>
      <w:bookmarkEnd w:id="238"/>
      <w:bookmarkEnd w:id="239"/>
      <w:bookmarkEnd w:id="240"/>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bookmarkStart w:id="255" w:name="_Toc407441987"/>
      <w:bookmarkStart w:id="256" w:name="_Toc407441842"/>
      <w:bookmarkStart w:id="257" w:name="_Toc519168286"/>
      <w:r>
        <w:rPr>
          <w:rFonts w:hint="eastAsia" w:ascii="宋体" w:hAnsi="宋体"/>
          <w:color w:val="auto"/>
          <w:kern w:val="0"/>
          <w:szCs w:val="21"/>
        </w:rPr>
        <w:t>1.12 偏离</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bidi w:val="0"/>
        <w:snapToGrid/>
        <w:spacing w:line="420" w:lineRule="exact"/>
        <w:ind w:firstLine="420" w:firstLineChars="200"/>
        <w:textAlignment w:val="auto"/>
        <w:outlineLvl w:val="9"/>
        <w:rPr>
          <w:rFonts w:ascii="宋体" w:hAnsi="宋体" w:cs="宋体"/>
          <w:color w:val="auto"/>
          <w:szCs w:val="21"/>
        </w:rPr>
      </w:pPr>
      <w:bookmarkStart w:id="258" w:name="_Toc407441989"/>
      <w:bookmarkStart w:id="259" w:name="_Toc214433873"/>
      <w:bookmarkStart w:id="260" w:name="_Toc228881147"/>
      <w:bookmarkStart w:id="261" w:name="_Toc228591495"/>
      <w:bookmarkStart w:id="262" w:name="_Toc364341513"/>
      <w:bookmarkStart w:id="263" w:name="_Toc228337084"/>
      <w:bookmarkStart w:id="264" w:name="_Toc227492230"/>
      <w:bookmarkStart w:id="265" w:name="_Toc321472300"/>
      <w:bookmarkStart w:id="266" w:name="_Toc228591643"/>
      <w:bookmarkStart w:id="267" w:name="_Toc228589149"/>
      <w:bookmarkStart w:id="268" w:name="_Toc519168288"/>
      <w:bookmarkStart w:id="269" w:name="_Toc227657473"/>
      <w:r>
        <w:rPr>
          <w:rFonts w:hint="eastAsia" w:ascii="宋体" w:hAnsi="宋体" w:cs="宋体"/>
          <w:color w:val="auto"/>
          <w:szCs w:val="21"/>
        </w:rPr>
        <w:t>投标人须知前附表允许投标文件偏离采购文件某些要求的，偏离应当符合采购文件规定的偏离范围和幅度。</w:t>
      </w:r>
    </w:p>
    <w:p>
      <w:pPr>
        <w:keepNext w:val="0"/>
        <w:keepLines w:val="0"/>
        <w:pageBreakBefore w:val="0"/>
        <w:widowControl w:val="0"/>
        <w:numPr>
          <w:ilvl w:val="0"/>
          <w:numId w:val="3"/>
        </w:numPr>
        <w:kinsoku/>
        <w:wordWrap/>
        <w:overflowPunct/>
        <w:topLinePunct w:val="0"/>
        <w:bidi w:val="0"/>
        <w:snapToGrid/>
        <w:spacing w:before="120" w:after="120" w:line="420" w:lineRule="exact"/>
        <w:jc w:val="left"/>
        <w:textAlignment w:val="auto"/>
        <w:outlineLvl w:val="9"/>
        <w:rPr>
          <w:rFonts w:ascii="宋体" w:hAnsi="宋体"/>
          <w:color w:val="auto"/>
          <w:kern w:val="0"/>
          <w:szCs w:val="21"/>
        </w:rPr>
      </w:pPr>
      <w:r>
        <w:rPr>
          <w:rFonts w:hint="eastAsia" w:ascii="宋体" w:hAnsi="宋体"/>
          <w:bCs/>
          <w:color w:val="auto"/>
          <w:sz w:val="24"/>
        </w:rPr>
        <w:t>招标文件</w:t>
      </w:r>
      <w:bookmarkEnd w:id="258"/>
      <w:bookmarkEnd w:id="259"/>
      <w:bookmarkEnd w:id="260"/>
      <w:bookmarkEnd w:id="261"/>
      <w:bookmarkEnd w:id="262"/>
      <w:bookmarkEnd w:id="263"/>
      <w:bookmarkEnd w:id="264"/>
      <w:bookmarkEnd w:id="265"/>
      <w:bookmarkEnd w:id="266"/>
      <w:bookmarkEnd w:id="267"/>
      <w:bookmarkEnd w:id="268"/>
      <w:bookmarkEnd w:id="269"/>
      <w:bookmarkStart w:id="270" w:name="_Toc228591644"/>
      <w:bookmarkStart w:id="271" w:name="_Toc228589150"/>
      <w:bookmarkStart w:id="272" w:name="_Toc519168289"/>
      <w:bookmarkStart w:id="273" w:name="_Toc228881148"/>
      <w:bookmarkStart w:id="274" w:name="_Toc364341252"/>
      <w:bookmarkStart w:id="275" w:name="_Toc321472041"/>
      <w:bookmarkStart w:id="276" w:name="_Toc321472301"/>
      <w:bookmarkStart w:id="277" w:name="_Toc227657474"/>
      <w:bookmarkStart w:id="278" w:name="_Toc228591496"/>
      <w:bookmarkStart w:id="279" w:name="_Toc227492231"/>
      <w:bookmarkStart w:id="280" w:name="_Toc407441990"/>
      <w:bookmarkStart w:id="281" w:name="_Toc214433874"/>
      <w:bookmarkStart w:id="282" w:name="_Toc228337085"/>
      <w:bookmarkStart w:id="283" w:name="_Toc327599844"/>
      <w:bookmarkStart w:id="284" w:name="_Toc364341514"/>
      <w:bookmarkStart w:id="285" w:name="_Toc327565121"/>
    </w:p>
    <w:p>
      <w:pPr>
        <w:keepNext w:val="0"/>
        <w:keepLines w:val="0"/>
        <w:pageBreakBefore w:val="0"/>
        <w:widowControl w:val="0"/>
        <w:numPr>
          <w:ilvl w:val="0"/>
          <w:numId w:val="0"/>
        </w:numPr>
        <w:kinsoku/>
        <w:wordWrap/>
        <w:overflowPunct/>
        <w:topLinePunct w:val="0"/>
        <w:bidi w:val="0"/>
        <w:snapToGrid/>
        <w:spacing w:before="120" w:after="120" w:line="420" w:lineRule="exact"/>
        <w:jc w:val="left"/>
        <w:textAlignment w:val="auto"/>
        <w:outlineLvl w:val="9"/>
        <w:rPr>
          <w:rFonts w:ascii="宋体" w:hAnsi="宋体"/>
          <w:color w:val="auto"/>
          <w:kern w:val="0"/>
          <w:szCs w:val="21"/>
        </w:rPr>
      </w:pPr>
      <w:r>
        <w:rPr>
          <w:rFonts w:hint="eastAsia" w:ascii="宋体" w:hAnsi="宋体"/>
          <w:color w:val="auto"/>
          <w:kern w:val="0"/>
          <w:szCs w:val="21"/>
        </w:rPr>
        <w:t>2.1 招标文件的组成</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本招标文件包括：</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（1）招标公告；</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（2）投标人须知；</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（3）评标办法；</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（4）合同条款及格式；</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（5）工程量清单（另附）；</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（6）图纸（另附）；</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（7）技术标准和要求；</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r>
        <w:rPr>
          <w:rFonts w:hint="eastAsia" w:ascii="宋体" w:hAnsi="宋体"/>
          <w:color w:val="auto"/>
          <w:kern w:val="0"/>
          <w:szCs w:val="21"/>
        </w:rPr>
        <w:t>（8）投标文件格式；</w:t>
      </w:r>
    </w:p>
    <w:p>
      <w:pPr>
        <w:tabs>
          <w:tab w:val="left" w:pos="1260"/>
        </w:tabs>
        <w:autoSpaceDE w:val="0"/>
        <w:autoSpaceDN w:val="0"/>
        <w:adjustRightInd w:val="0"/>
        <w:spacing w:line="420" w:lineRule="exact"/>
        <w:jc w:val="left"/>
        <w:rPr>
          <w:rFonts w:ascii="宋体" w:hAnsi="宋体"/>
          <w:color w:val="auto"/>
          <w:kern w:val="0"/>
          <w:szCs w:val="21"/>
        </w:rPr>
      </w:pPr>
      <w:r>
        <w:rPr>
          <w:rFonts w:hint="eastAsia" w:ascii="宋体" w:hAnsi="宋体"/>
          <w:color w:val="auto"/>
          <w:kern w:val="0"/>
          <w:szCs w:val="21"/>
        </w:rPr>
        <w:t>根据本章第1.10 款、第2.2 款和第2.3 款对招标文件所作的澄清、修改，构成招标文件的组成部分。</w:t>
      </w:r>
    </w:p>
    <w:p>
      <w:pPr>
        <w:autoSpaceDE w:val="0"/>
        <w:autoSpaceDN w:val="0"/>
        <w:adjustRightInd w:val="0"/>
        <w:spacing w:line="420" w:lineRule="exact"/>
        <w:jc w:val="left"/>
        <w:rPr>
          <w:rFonts w:ascii="宋体" w:hAnsi="宋体"/>
          <w:color w:val="auto"/>
          <w:kern w:val="0"/>
          <w:szCs w:val="21"/>
        </w:rPr>
      </w:pPr>
      <w:bookmarkStart w:id="286" w:name="_Toc227492232"/>
      <w:bookmarkStart w:id="287" w:name="_Toc519168290"/>
      <w:bookmarkStart w:id="288" w:name="_Toc228591497"/>
      <w:bookmarkStart w:id="289" w:name="_Toc407441991"/>
      <w:bookmarkStart w:id="290" w:name="_Toc227657475"/>
      <w:bookmarkStart w:id="291" w:name="_Toc321472042"/>
      <w:bookmarkStart w:id="292" w:name="_Toc327599845"/>
      <w:bookmarkStart w:id="293" w:name="_Toc228881149"/>
      <w:bookmarkStart w:id="294" w:name="_Toc321472302"/>
      <w:bookmarkStart w:id="295" w:name="_Toc228591645"/>
      <w:bookmarkStart w:id="296" w:name="_Toc364341515"/>
      <w:bookmarkStart w:id="297" w:name="_Toc228337086"/>
      <w:bookmarkStart w:id="298" w:name="_Toc364341253"/>
      <w:bookmarkStart w:id="299" w:name="_Toc214433875"/>
      <w:bookmarkStart w:id="300" w:name="_Toc327565122"/>
      <w:bookmarkStart w:id="301" w:name="_Toc228589151"/>
      <w:r>
        <w:rPr>
          <w:rFonts w:hint="eastAsia" w:ascii="宋体" w:hAnsi="宋体"/>
          <w:color w:val="auto"/>
          <w:kern w:val="0"/>
          <w:szCs w:val="21"/>
        </w:rPr>
        <w:t>2.2 招标文件的澄清</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2.2.1 投标人应仔细阅读和检查招标文件的全部内容。如发现缺页或附件不全，应及时向招标人提出，以便补齐。如有疑问，应在投标人须知前附表规定的时间前以书面形式（包括信函、传真等可以有形地表现所载内容的形式，下同），要求招标人对招标文件予以澄清。</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2.2.2 招标文件的澄清将在接投标人问题后3日内以书面形式发给所有购买招标文件的投标人，但不指明澄清问题的来源。</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2.2.3 投标人在收到澄清后，应在投标人须知前附表规定的时间内以书面形式通知招标人，确认已收到该澄清。</w:t>
      </w:r>
    </w:p>
    <w:p>
      <w:pPr>
        <w:autoSpaceDE w:val="0"/>
        <w:autoSpaceDN w:val="0"/>
        <w:adjustRightInd w:val="0"/>
        <w:spacing w:line="420" w:lineRule="exact"/>
        <w:jc w:val="left"/>
        <w:rPr>
          <w:rFonts w:ascii="宋体" w:hAnsi="宋体"/>
          <w:color w:val="auto"/>
          <w:kern w:val="0"/>
          <w:szCs w:val="21"/>
        </w:rPr>
      </w:pPr>
      <w:bookmarkStart w:id="302" w:name="_Toc228881150"/>
      <w:bookmarkStart w:id="303" w:name="_Toc227657476"/>
      <w:bookmarkStart w:id="304" w:name="_Toc321472303"/>
      <w:bookmarkStart w:id="305" w:name="_Toc364341516"/>
      <w:bookmarkStart w:id="306" w:name="_Toc228591646"/>
      <w:bookmarkStart w:id="307" w:name="_Toc327565123"/>
      <w:bookmarkStart w:id="308" w:name="_Toc321472043"/>
      <w:bookmarkStart w:id="309" w:name="_Toc407441992"/>
      <w:bookmarkStart w:id="310" w:name="_Toc327599846"/>
      <w:bookmarkStart w:id="311" w:name="_Toc214433876"/>
      <w:bookmarkStart w:id="312" w:name="_Toc364341254"/>
      <w:bookmarkStart w:id="313" w:name="_Toc228337087"/>
      <w:bookmarkStart w:id="314" w:name="_Toc228589152"/>
      <w:bookmarkStart w:id="315" w:name="_Toc228591498"/>
      <w:bookmarkStart w:id="316" w:name="_Toc227492233"/>
      <w:bookmarkStart w:id="317" w:name="_Toc519168291"/>
      <w:r>
        <w:rPr>
          <w:rFonts w:hint="eastAsia" w:ascii="宋体" w:hAnsi="宋体"/>
          <w:color w:val="auto"/>
          <w:kern w:val="0"/>
          <w:szCs w:val="21"/>
        </w:rPr>
        <w:t>2.3 招标文件的修改</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keepNext w:val="0"/>
        <w:keepLines w:val="0"/>
        <w:pageBreakBefore w:val="0"/>
        <w:widowControl w:val="0"/>
        <w:kinsoku/>
        <w:wordWrap/>
        <w:overflowPunct/>
        <w:topLinePunct w:val="0"/>
        <w:autoSpaceDE w:val="0"/>
        <w:autoSpaceDN w:val="0"/>
        <w:bidi w:val="0"/>
        <w:adjustRightInd w:val="0"/>
        <w:snapToGrid/>
        <w:spacing w:line="420" w:lineRule="exact"/>
        <w:ind w:firstLine="539" w:firstLineChars="257"/>
        <w:jc w:val="left"/>
        <w:textAlignment w:val="auto"/>
        <w:outlineLvl w:val="9"/>
        <w:rPr>
          <w:rFonts w:ascii="宋体" w:hAnsi="宋体"/>
          <w:color w:val="auto"/>
          <w:kern w:val="0"/>
          <w:szCs w:val="21"/>
        </w:rPr>
      </w:pPr>
      <w:r>
        <w:rPr>
          <w:rFonts w:hint="eastAsia" w:ascii="宋体" w:hAnsi="宋体"/>
          <w:color w:val="auto"/>
          <w:kern w:val="0"/>
          <w:szCs w:val="21"/>
        </w:rPr>
        <w:t>2.3.1 在投标截止时间15天前，招标人可以书面形式修改招标文件，并通知所有已购买招标文件的投标人。如果修改招标文件的时间距投标截止时间不足15天，相应延长投标截止时间。</w:t>
      </w:r>
    </w:p>
    <w:p>
      <w:pPr>
        <w:keepNext w:val="0"/>
        <w:keepLines w:val="0"/>
        <w:pageBreakBefore w:val="0"/>
        <w:widowControl w:val="0"/>
        <w:kinsoku/>
        <w:wordWrap/>
        <w:overflowPunct/>
        <w:topLinePunct w:val="0"/>
        <w:autoSpaceDE w:val="0"/>
        <w:autoSpaceDN w:val="0"/>
        <w:bidi w:val="0"/>
        <w:adjustRightInd w:val="0"/>
        <w:snapToGrid/>
        <w:spacing w:line="420" w:lineRule="exact"/>
        <w:ind w:firstLine="539" w:firstLineChars="257"/>
        <w:jc w:val="left"/>
        <w:textAlignment w:val="auto"/>
        <w:outlineLvl w:val="9"/>
        <w:rPr>
          <w:rFonts w:ascii="宋体" w:hAnsi="宋体"/>
          <w:color w:val="auto"/>
          <w:kern w:val="0"/>
          <w:szCs w:val="21"/>
        </w:rPr>
      </w:pPr>
      <w:r>
        <w:rPr>
          <w:rFonts w:hint="eastAsia" w:ascii="宋体" w:hAnsi="宋体"/>
          <w:color w:val="auto"/>
          <w:kern w:val="0"/>
          <w:szCs w:val="21"/>
        </w:rPr>
        <w:t>2.3.2 投标人收到修改内容后，应在投标人须知前附表规定的时间内以书面形式通知招标人，确认已收到该修改。</w:t>
      </w:r>
    </w:p>
    <w:p>
      <w:pPr>
        <w:keepNext w:val="0"/>
        <w:keepLines w:val="0"/>
        <w:pageBreakBefore w:val="0"/>
        <w:widowControl w:val="0"/>
        <w:kinsoku/>
        <w:wordWrap/>
        <w:overflowPunct/>
        <w:topLinePunct w:val="0"/>
        <w:bidi w:val="0"/>
        <w:snapToGrid/>
        <w:spacing w:before="120" w:after="120" w:line="420" w:lineRule="exact"/>
        <w:jc w:val="left"/>
        <w:textAlignment w:val="auto"/>
        <w:outlineLvl w:val="9"/>
        <w:rPr>
          <w:rFonts w:ascii="宋体" w:hAnsi="宋体"/>
          <w:bCs/>
          <w:color w:val="auto"/>
          <w:sz w:val="24"/>
        </w:rPr>
      </w:pPr>
      <w:bookmarkStart w:id="318" w:name="_Toc519168292"/>
      <w:bookmarkStart w:id="319" w:name="_Toc214433877"/>
      <w:bookmarkStart w:id="320" w:name="_Toc228589153"/>
      <w:bookmarkStart w:id="321" w:name="_Toc228591647"/>
      <w:bookmarkStart w:id="322" w:name="_Toc364341517"/>
      <w:bookmarkStart w:id="323" w:name="_Toc228881151"/>
      <w:bookmarkStart w:id="324" w:name="_Toc227657477"/>
      <w:bookmarkStart w:id="325" w:name="_Toc227492234"/>
      <w:bookmarkStart w:id="326" w:name="_Toc321472304"/>
      <w:bookmarkStart w:id="327" w:name="_Toc228591499"/>
      <w:bookmarkStart w:id="328" w:name="_Toc228337088"/>
      <w:bookmarkStart w:id="329" w:name="_Toc407441993"/>
      <w:r>
        <w:rPr>
          <w:rFonts w:hint="eastAsia" w:ascii="宋体" w:hAnsi="宋体"/>
          <w:bCs/>
          <w:color w:val="auto"/>
          <w:sz w:val="24"/>
        </w:rPr>
        <w:t>3. 投标文件</w:t>
      </w:r>
      <w:bookmarkEnd w:id="318"/>
      <w:bookmarkEnd w:id="319"/>
      <w:bookmarkEnd w:id="320"/>
      <w:bookmarkEnd w:id="321"/>
      <w:bookmarkEnd w:id="322"/>
      <w:bookmarkEnd w:id="323"/>
      <w:bookmarkEnd w:id="324"/>
      <w:bookmarkEnd w:id="325"/>
      <w:bookmarkEnd w:id="326"/>
      <w:bookmarkEnd w:id="327"/>
      <w:bookmarkEnd w:id="328"/>
      <w:bookmarkEnd w:id="329"/>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bookmarkStart w:id="330" w:name="_Toc407441994"/>
      <w:bookmarkStart w:id="331" w:name="_Toc228337089"/>
      <w:bookmarkStart w:id="332" w:name="_Toc364341518"/>
      <w:bookmarkStart w:id="333" w:name="_Toc228881152"/>
      <w:bookmarkStart w:id="334" w:name="_Toc364341256"/>
      <w:bookmarkStart w:id="335" w:name="_Toc519168293"/>
      <w:bookmarkStart w:id="336" w:name="_Toc228591500"/>
      <w:bookmarkStart w:id="337" w:name="_Toc321472045"/>
      <w:bookmarkStart w:id="338" w:name="_Toc327599848"/>
      <w:bookmarkStart w:id="339" w:name="_Toc227492235"/>
      <w:bookmarkStart w:id="340" w:name="_Toc214433878"/>
      <w:bookmarkStart w:id="341" w:name="_Toc327565125"/>
      <w:bookmarkStart w:id="342" w:name="_Toc227657478"/>
      <w:bookmarkStart w:id="343" w:name="_Toc228591648"/>
      <w:bookmarkStart w:id="344" w:name="_Toc321472305"/>
      <w:bookmarkStart w:id="345" w:name="_Toc228589154"/>
      <w:r>
        <w:rPr>
          <w:rFonts w:hint="eastAsia" w:ascii="宋体" w:hAnsi="宋体"/>
          <w:color w:val="auto"/>
          <w:kern w:val="0"/>
          <w:szCs w:val="21"/>
        </w:rPr>
        <w:t>3.1 投标文件的组成</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outlineLvl w:val="9"/>
        <w:rPr>
          <w:rFonts w:ascii="宋体" w:hAnsi="宋体"/>
          <w:color w:val="auto"/>
          <w:szCs w:val="21"/>
        </w:rPr>
      </w:pPr>
      <w:bookmarkStart w:id="346" w:name="_Toc327599851"/>
      <w:bookmarkStart w:id="347" w:name="_Toc364341259"/>
      <w:bookmarkStart w:id="348" w:name="_Toc227492236"/>
      <w:bookmarkStart w:id="349" w:name="_Toc228591501"/>
      <w:bookmarkStart w:id="350" w:name="_Toc228337090"/>
      <w:bookmarkStart w:id="351" w:name="_Toc321472308"/>
      <w:bookmarkStart w:id="352" w:name="_Toc228881153"/>
      <w:bookmarkStart w:id="353" w:name="_Toc327565128"/>
      <w:bookmarkStart w:id="354" w:name="_Toc227657479"/>
      <w:bookmarkStart w:id="355" w:name="_Toc214433879"/>
      <w:bookmarkStart w:id="356" w:name="_Toc364341521"/>
      <w:bookmarkStart w:id="357" w:name="_Toc228591649"/>
      <w:bookmarkStart w:id="358" w:name="_Toc321472048"/>
      <w:bookmarkStart w:id="359" w:name="_Toc228589155"/>
      <w:r>
        <w:rPr>
          <w:rFonts w:hint="eastAsia" w:ascii="宋体" w:hAnsi="宋体"/>
          <w:color w:val="auto"/>
          <w:szCs w:val="21"/>
        </w:rPr>
        <w:t>满足本招标文件第八章要求及招标文件中规定的其他内容。</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bookmarkStart w:id="360" w:name="_Toc407441995"/>
      <w:bookmarkStart w:id="361" w:name="_Toc519168294"/>
      <w:r>
        <w:rPr>
          <w:rFonts w:hint="eastAsia" w:ascii="宋体" w:hAnsi="宋体"/>
          <w:color w:val="auto"/>
          <w:kern w:val="0"/>
          <w:szCs w:val="21"/>
        </w:rPr>
        <w:t>3.2 投标报价</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spacing w:after="160" w:line="400" w:lineRule="exact"/>
        <w:ind w:firstLine="420"/>
        <w:rPr>
          <w:rFonts w:ascii="宋体" w:hAnsi="宋体"/>
          <w:color w:val="auto"/>
        </w:rPr>
      </w:pPr>
      <w:bookmarkStart w:id="362" w:name="_Toc227492237"/>
      <w:bookmarkStart w:id="363" w:name="_Toc228589156"/>
      <w:bookmarkStart w:id="364" w:name="_Toc228881154"/>
      <w:bookmarkStart w:id="365" w:name="_Toc228591502"/>
      <w:bookmarkStart w:id="366" w:name="_Toc227657480"/>
      <w:bookmarkStart w:id="367" w:name="_Toc321472049"/>
      <w:bookmarkStart w:id="368" w:name="_Toc321472309"/>
      <w:bookmarkStart w:id="369" w:name="_Toc407441996"/>
      <w:bookmarkStart w:id="370" w:name="_Toc327565129"/>
      <w:bookmarkStart w:id="371" w:name="_Toc519168295"/>
      <w:bookmarkStart w:id="372" w:name="_Toc214433880"/>
      <w:bookmarkStart w:id="373" w:name="_Toc228337091"/>
      <w:bookmarkStart w:id="374" w:name="_Toc364341522"/>
      <w:bookmarkStart w:id="375" w:name="_Toc364341260"/>
      <w:bookmarkStart w:id="376" w:name="_Toc327599852"/>
      <w:bookmarkStart w:id="377" w:name="_Toc228591650"/>
      <w:r>
        <w:rPr>
          <w:rFonts w:ascii="宋体" w:hAnsi="宋体"/>
          <w:color w:val="auto"/>
        </w:rPr>
        <w:t>3.2.1 投标人应按第八章“投标函附录”的要求填写相应表格。</w:t>
      </w:r>
    </w:p>
    <w:p>
      <w:pPr>
        <w:autoSpaceDE w:val="0"/>
        <w:autoSpaceDN w:val="0"/>
        <w:adjustRightInd w:val="0"/>
        <w:spacing w:line="420" w:lineRule="exact"/>
        <w:ind w:firstLine="539" w:firstLineChars="257"/>
        <w:jc w:val="left"/>
        <w:rPr>
          <w:rFonts w:ascii="宋体" w:hAnsi="宋体"/>
          <w:color w:val="auto"/>
          <w:kern w:val="0"/>
          <w:szCs w:val="21"/>
        </w:rPr>
      </w:pPr>
      <w:r>
        <w:rPr>
          <w:rFonts w:ascii="宋体" w:hAnsi="宋体"/>
          <w:color w:val="auto"/>
          <w:kern w:val="0"/>
          <w:szCs w:val="21"/>
        </w:rPr>
        <w:t>3.2.2 投标人在投标截止时间前修改投标函中的投标报价，应同时修改 “投标函附录”中的相应报价。此修改须符合本章第4.3 款的有关要求。</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3.2.3 投标函及投标函附录投标价格处需加盖投标人及法定代表人电子签章确认其所投价格，否则按未响应招标文件。</w:t>
      </w:r>
    </w:p>
    <w:p>
      <w:pPr>
        <w:autoSpaceDE w:val="0"/>
        <w:autoSpaceDN w:val="0"/>
        <w:adjustRightInd w:val="0"/>
        <w:spacing w:line="420" w:lineRule="exact"/>
        <w:jc w:val="left"/>
        <w:rPr>
          <w:rFonts w:ascii="宋体" w:hAnsi="宋体"/>
          <w:color w:val="auto"/>
          <w:kern w:val="0"/>
          <w:szCs w:val="21"/>
        </w:rPr>
      </w:pPr>
      <w:r>
        <w:rPr>
          <w:rFonts w:hint="eastAsia" w:ascii="宋体" w:hAnsi="宋体"/>
          <w:color w:val="auto"/>
          <w:kern w:val="0"/>
          <w:szCs w:val="21"/>
        </w:rPr>
        <w:t>3.3 投标有效期</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3.3.1 在投标人须知前附表规定的投标有效期内，投标人不得要求撤销或修改其投标文件。</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3.3.2 出现特殊情况需要延长投标有效期的，招标人以书面形式通知所有投标人延长投标有效期。投标人同意延长的，但不得</w:t>
      </w:r>
      <w:bookmarkStart w:id="378" w:name="_Toc228881156"/>
      <w:bookmarkStart w:id="379" w:name="_Toc228591652"/>
      <w:bookmarkStart w:id="380" w:name="_Toc228589158"/>
      <w:bookmarkStart w:id="381" w:name="_Toc228591504"/>
      <w:bookmarkStart w:id="382" w:name="_Toc327599854"/>
      <w:bookmarkStart w:id="383" w:name="_Toc327565131"/>
      <w:bookmarkStart w:id="384" w:name="_Toc407442002"/>
      <w:bookmarkStart w:id="385" w:name="_Toc227492239"/>
      <w:bookmarkStart w:id="386" w:name="_Toc227657482"/>
      <w:bookmarkStart w:id="387" w:name="_Toc228337093"/>
      <w:bookmarkStart w:id="388" w:name="_Toc519168301"/>
      <w:bookmarkStart w:id="389" w:name="_Toc214433882"/>
      <w:bookmarkStart w:id="390" w:name="_Toc321472051"/>
      <w:bookmarkStart w:id="391" w:name="_Toc321472311"/>
      <w:bookmarkStart w:id="392" w:name="_Toc364341262"/>
      <w:bookmarkStart w:id="393" w:name="_Toc364341524"/>
      <w:r>
        <w:rPr>
          <w:rFonts w:hint="eastAsia" w:ascii="宋体" w:hAnsi="宋体"/>
          <w:color w:val="auto"/>
          <w:kern w:val="0"/>
          <w:szCs w:val="21"/>
        </w:rPr>
        <w:t>要求或被允许修改或撤销其投标文件；投标人拒绝延长的，其投标失效为无效标。</w:t>
      </w:r>
      <w:r>
        <w:rPr>
          <w:rFonts w:ascii="宋体" w:hAnsi="宋体"/>
          <w:color w:val="auto"/>
          <w:kern w:val="0"/>
          <w:szCs w:val="21"/>
        </w:rPr>
        <w:t xml:space="preserve"> </w:t>
      </w:r>
    </w:p>
    <w:p>
      <w:pPr>
        <w:autoSpaceDE w:val="0"/>
        <w:autoSpaceDN w:val="0"/>
        <w:adjustRightInd w:val="0"/>
        <w:spacing w:line="420" w:lineRule="exact"/>
        <w:jc w:val="left"/>
        <w:rPr>
          <w:rFonts w:ascii="宋体" w:hAnsi="宋体"/>
          <w:color w:val="auto"/>
          <w:kern w:val="0"/>
          <w:szCs w:val="21"/>
        </w:rPr>
      </w:pPr>
      <w:r>
        <w:rPr>
          <w:rFonts w:hint="eastAsia" w:ascii="宋体" w:hAnsi="宋体"/>
          <w:color w:val="auto"/>
          <w:kern w:val="0"/>
          <w:szCs w:val="21"/>
        </w:rPr>
        <w:t>3.5 资格审查资料</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投标人在编制投标文件时，应按新情况更新或补充其在报名时提供的资料，以证实其各项资格条件仍能继续满足资格审查的要求，具备承担本标段施工的资质条件、能力。</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3.5.1 “投标人基本情况表”应附投标人有效的营业执照副本、资质证书副本和安全生产许可证等材料的扫描件。</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3.5.2 “近年财务状况表”应附经会计师事务所或审计机构审计的财务报告，具体年份要求见投标人须知前附表。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3.5.3</w:t>
      </w:r>
      <w:r>
        <w:rPr>
          <w:rFonts w:ascii="宋体" w:hAnsi="宋体"/>
          <w:color w:val="auto"/>
          <w:kern w:val="0"/>
          <w:szCs w:val="21"/>
        </w:rPr>
        <w:t>“拟派项目经理等人员”社保证明资料，由法定代表人签字并签署“属实”。</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3.5.4</w:t>
      </w:r>
      <w:r>
        <w:rPr>
          <w:rFonts w:ascii="宋体" w:hAnsi="宋体"/>
          <w:color w:val="auto"/>
          <w:kern w:val="0"/>
          <w:szCs w:val="21"/>
        </w:rPr>
        <w:t>投标人必须出具项目经理无在建工程承诺书格式自拟</w:t>
      </w:r>
      <w:r>
        <w:rPr>
          <w:rFonts w:hint="eastAsia" w:ascii="宋体" w:hAnsi="宋体"/>
          <w:color w:val="auto"/>
          <w:kern w:val="0"/>
          <w:szCs w:val="21"/>
          <w:lang w:eastAsia="zh-CN"/>
        </w:rPr>
        <w:t>并由法定代表人亲笔签字，</w:t>
      </w:r>
      <w:r>
        <w:rPr>
          <w:rFonts w:ascii="宋体" w:hAnsi="宋体"/>
          <w:color w:val="auto"/>
          <w:kern w:val="0"/>
          <w:szCs w:val="21"/>
        </w:rPr>
        <w:t>否则，其投标将被否决。</w:t>
      </w:r>
    </w:p>
    <w:p>
      <w:pPr>
        <w:autoSpaceDE w:val="0"/>
        <w:autoSpaceDN w:val="0"/>
        <w:adjustRightInd w:val="0"/>
        <w:spacing w:line="420" w:lineRule="exact"/>
        <w:jc w:val="left"/>
        <w:rPr>
          <w:rFonts w:ascii="宋体" w:hAnsi="宋体"/>
          <w:color w:val="auto"/>
          <w:kern w:val="0"/>
          <w:szCs w:val="21"/>
        </w:rPr>
      </w:pPr>
      <w:bookmarkStart w:id="394" w:name="_Toc228591653"/>
      <w:bookmarkStart w:id="395" w:name="_Toc227492240"/>
      <w:bookmarkStart w:id="396" w:name="_Toc228337094"/>
      <w:bookmarkStart w:id="397" w:name="_Toc327565132"/>
      <w:bookmarkStart w:id="398" w:name="_Toc327599855"/>
      <w:bookmarkStart w:id="399" w:name="_Toc227657483"/>
      <w:bookmarkStart w:id="400" w:name="_Toc364341525"/>
      <w:bookmarkStart w:id="401" w:name="_Toc228589159"/>
      <w:bookmarkStart w:id="402" w:name="_Toc214433883"/>
      <w:bookmarkStart w:id="403" w:name="_Toc321472052"/>
      <w:bookmarkStart w:id="404" w:name="_Toc321472312"/>
      <w:bookmarkStart w:id="405" w:name="_Toc228591505"/>
      <w:bookmarkStart w:id="406" w:name="_Toc364341263"/>
      <w:bookmarkStart w:id="407" w:name="_Toc519168302"/>
      <w:bookmarkStart w:id="408" w:name="_Toc407442003"/>
      <w:bookmarkStart w:id="409" w:name="_Toc228881157"/>
      <w:r>
        <w:rPr>
          <w:rFonts w:hint="eastAsia" w:ascii="宋体" w:hAnsi="宋体"/>
          <w:color w:val="auto"/>
          <w:kern w:val="0"/>
          <w:szCs w:val="21"/>
        </w:rPr>
        <w:t>3.6 备选投标方案</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除投标人须知前附表另有规定外，投标人不得递交备选投标方案。允许投标人递交备选投标方案的，只有中标人所递交的备选投标方案方可予以考虑。评标委员会认为中标人的备选投标方案优</w:t>
      </w:r>
    </w:p>
    <w:p>
      <w:pPr>
        <w:autoSpaceDE w:val="0"/>
        <w:autoSpaceDN w:val="0"/>
        <w:adjustRightInd w:val="0"/>
        <w:spacing w:line="420" w:lineRule="exact"/>
        <w:jc w:val="left"/>
        <w:rPr>
          <w:rFonts w:ascii="宋体" w:hAnsi="宋体"/>
          <w:color w:val="auto"/>
          <w:kern w:val="0"/>
          <w:szCs w:val="21"/>
        </w:rPr>
      </w:pPr>
      <w:r>
        <w:rPr>
          <w:rFonts w:hint="eastAsia" w:ascii="宋体" w:hAnsi="宋体"/>
          <w:color w:val="auto"/>
          <w:kern w:val="0"/>
          <w:szCs w:val="21"/>
        </w:rPr>
        <w:t>于其按照招标文件要求编制的投标方案的，招标人可以接受该备选投标方案。</w:t>
      </w:r>
    </w:p>
    <w:p>
      <w:pPr>
        <w:autoSpaceDE w:val="0"/>
        <w:autoSpaceDN w:val="0"/>
        <w:adjustRightInd w:val="0"/>
        <w:spacing w:line="420" w:lineRule="exact"/>
        <w:jc w:val="left"/>
        <w:rPr>
          <w:rFonts w:ascii="宋体" w:hAnsi="宋体"/>
          <w:color w:val="auto"/>
          <w:kern w:val="0"/>
          <w:szCs w:val="21"/>
        </w:rPr>
      </w:pPr>
      <w:bookmarkStart w:id="410" w:name="_Toc364341264"/>
      <w:bookmarkStart w:id="411" w:name="_Toc214433884"/>
      <w:bookmarkStart w:id="412" w:name="_Toc327565133"/>
      <w:bookmarkStart w:id="413" w:name="_Toc519168303"/>
      <w:bookmarkStart w:id="414" w:name="_Toc227657484"/>
      <w:bookmarkStart w:id="415" w:name="_Toc321472053"/>
      <w:bookmarkStart w:id="416" w:name="_Toc228591654"/>
      <w:bookmarkStart w:id="417" w:name="_Toc407442004"/>
      <w:bookmarkStart w:id="418" w:name="_Toc227492241"/>
      <w:bookmarkStart w:id="419" w:name="_Toc228337095"/>
      <w:bookmarkStart w:id="420" w:name="_Toc228591506"/>
      <w:bookmarkStart w:id="421" w:name="_Toc364341526"/>
      <w:bookmarkStart w:id="422" w:name="_Toc228881158"/>
      <w:bookmarkStart w:id="423" w:name="_Toc327599856"/>
      <w:bookmarkStart w:id="424" w:name="_Toc228589160"/>
      <w:bookmarkStart w:id="425" w:name="_Toc321472313"/>
      <w:r>
        <w:rPr>
          <w:rFonts w:hint="eastAsia" w:ascii="宋体" w:hAnsi="宋体"/>
          <w:color w:val="auto"/>
          <w:kern w:val="0"/>
          <w:szCs w:val="21"/>
        </w:rPr>
        <w:t>3.7 投标文件的编制</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3.7.2 投标文件应当对招标文件有关工期、投标有效期、质量要求、技术标准和要求、招标范围等实质性内容作出响应。服务承诺还应包含有工期和质量承诺，否则按无效标处理。</w:t>
      </w:r>
    </w:p>
    <w:p>
      <w:pPr>
        <w:keepNext w:val="0"/>
        <w:keepLines w:val="0"/>
        <w:pageBreakBefore w:val="0"/>
        <w:widowControl w:val="0"/>
        <w:kinsoku/>
        <w:wordWrap/>
        <w:overflowPunct/>
        <w:topLinePunct w:val="0"/>
        <w:bidi w:val="0"/>
        <w:spacing w:after="160" w:line="420" w:lineRule="atLeast"/>
        <w:ind w:firstLine="420"/>
        <w:textAlignment w:val="auto"/>
        <w:outlineLvl w:val="9"/>
        <w:rPr>
          <w:rFonts w:hAnsi="宋体"/>
          <w:color w:val="auto"/>
        </w:rPr>
      </w:pPr>
      <w:r>
        <w:rPr>
          <w:rFonts w:hint="eastAsia" w:ascii="宋体" w:hAnsi="宋体"/>
          <w:color w:val="auto"/>
          <w:kern w:val="0"/>
          <w:szCs w:val="21"/>
        </w:rPr>
        <w:t>3.7.3</w:t>
      </w:r>
      <w:r>
        <w:rPr>
          <w:rFonts w:ascii="宋体" w:hAnsi="宋体"/>
          <w:color w:val="auto"/>
        </w:rPr>
        <w:t>电子投标文件全部采用电子文档，除投标人须知前附表另有规定外，投标文件所附证书证件均为原件扫描件，并采用单位和个人数字证书，按招标文件要求在相应位置加盖电子印章。</w:t>
      </w:r>
      <w:r>
        <w:rPr>
          <w:rFonts w:hint="eastAsia" w:ascii="宋体" w:hAnsi="宋体"/>
          <w:color w:val="auto"/>
          <w:kern w:val="0"/>
          <w:szCs w:val="21"/>
        </w:rPr>
        <w:t>委托代理人签字或盖章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keepNext w:val="0"/>
        <w:keepLines w:val="0"/>
        <w:pageBreakBefore w:val="0"/>
        <w:widowControl w:val="0"/>
        <w:kinsoku/>
        <w:wordWrap/>
        <w:overflowPunct/>
        <w:topLinePunct w:val="0"/>
        <w:bidi w:val="0"/>
        <w:spacing w:before="120" w:after="120" w:line="420" w:lineRule="atLeast"/>
        <w:jc w:val="left"/>
        <w:textAlignment w:val="auto"/>
        <w:outlineLvl w:val="9"/>
        <w:rPr>
          <w:rFonts w:ascii="宋体" w:hAnsi="宋体"/>
          <w:bCs/>
          <w:color w:val="auto"/>
          <w:sz w:val="24"/>
        </w:rPr>
      </w:pPr>
      <w:bookmarkStart w:id="426" w:name="_Toc321472314"/>
      <w:bookmarkStart w:id="427" w:name="_Toc227657485"/>
      <w:bookmarkStart w:id="428" w:name="_Toc228589161"/>
      <w:bookmarkStart w:id="429" w:name="_Toc228591655"/>
      <w:bookmarkStart w:id="430" w:name="_Toc364341527"/>
      <w:bookmarkStart w:id="431" w:name="_Toc214433885"/>
      <w:bookmarkStart w:id="432" w:name="_Toc228337096"/>
      <w:bookmarkStart w:id="433" w:name="_Toc228591507"/>
      <w:bookmarkStart w:id="434" w:name="_Toc519168304"/>
      <w:bookmarkStart w:id="435" w:name="_Toc228881159"/>
      <w:bookmarkStart w:id="436" w:name="_Toc407442005"/>
      <w:bookmarkStart w:id="437" w:name="_Toc227492242"/>
      <w:r>
        <w:rPr>
          <w:rFonts w:hint="eastAsia" w:ascii="宋体" w:hAnsi="宋体"/>
          <w:bCs/>
          <w:color w:val="auto"/>
          <w:sz w:val="24"/>
        </w:rPr>
        <w:t>4. 投标</w:t>
      </w:r>
      <w:bookmarkEnd w:id="426"/>
      <w:bookmarkEnd w:id="427"/>
      <w:bookmarkEnd w:id="428"/>
      <w:bookmarkEnd w:id="429"/>
      <w:bookmarkEnd w:id="430"/>
      <w:bookmarkEnd w:id="431"/>
      <w:bookmarkEnd w:id="432"/>
      <w:bookmarkEnd w:id="433"/>
      <w:bookmarkEnd w:id="434"/>
      <w:bookmarkEnd w:id="435"/>
      <w:bookmarkEnd w:id="436"/>
      <w:bookmarkEnd w:id="437"/>
    </w:p>
    <w:p>
      <w:pPr>
        <w:keepNext w:val="0"/>
        <w:keepLines w:val="0"/>
        <w:pageBreakBefore w:val="0"/>
        <w:widowControl w:val="0"/>
        <w:kinsoku/>
        <w:wordWrap/>
        <w:overflowPunct/>
        <w:topLinePunct w:val="0"/>
        <w:autoSpaceDE w:val="0"/>
        <w:autoSpaceDN w:val="0"/>
        <w:bidi w:val="0"/>
        <w:snapToGrid w:val="0"/>
        <w:spacing w:after="160" w:line="420" w:lineRule="atLeast"/>
        <w:ind w:firstLine="420" w:firstLineChars="200"/>
        <w:jc w:val="left"/>
        <w:textAlignment w:val="auto"/>
        <w:outlineLvl w:val="9"/>
        <w:rPr>
          <w:rFonts w:ascii="宋体" w:hAnsi="宋体"/>
          <w:color w:val="auto"/>
        </w:rPr>
      </w:pPr>
      <w:bookmarkStart w:id="438" w:name="_Toc214433887"/>
      <w:bookmarkStart w:id="439" w:name="_Toc228337098"/>
      <w:bookmarkStart w:id="440" w:name="_Toc228589163"/>
      <w:bookmarkStart w:id="441" w:name="_Toc228591657"/>
      <w:bookmarkStart w:id="442" w:name="_Toc327599859"/>
      <w:bookmarkStart w:id="443" w:name="_Toc407442007"/>
      <w:bookmarkStart w:id="444" w:name="_Toc364341529"/>
      <w:bookmarkStart w:id="445" w:name="_Toc227657487"/>
      <w:bookmarkStart w:id="446" w:name="_Toc519168306"/>
      <w:bookmarkStart w:id="447" w:name="_Toc364341267"/>
      <w:bookmarkStart w:id="448" w:name="_Toc227492244"/>
      <w:bookmarkStart w:id="449" w:name="_Toc321472056"/>
      <w:bookmarkStart w:id="450" w:name="_Toc321472316"/>
      <w:bookmarkStart w:id="451" w:name="_Toc228881161"/>
      <w:bookmarkStart w:id="452" w:name="_Toc327565136"/>
      <w:bookmarkStart w:id="453" w:name="_Toc228591509"/>
      <w:r>
        <w:rPr>
          <w:rFonts w:hint="eastAsia" w:ascii="宋体" w:hAnsi="宋体"/>
          <w:color w:val="auto"/>
          <w:kern w:val="0"/>
          <w:szCs w:val="21"/>
        </w:rPr>
        <w:t>4.1</w:t>
      </w:r>
      <w:r>
        <w:rPr>
          <w:rFonts w:ascii="宋体" w:hAnsi="宋体"/>
          <w:color w:val="auto"/>
        </w:rPr>
        <w:t>投标人应在投标截止时间以前登录开封市公共资源交易中心系统上传递交加密电子投标文件到会员指定位置，并确认已经成功提交投标文件，请在上传时认真检查上传投标文件是否完整正确，上传成功后不可撤回。</w:t>
      </w:r>
    </w:p>
    <w:p>
      <w:pPr>
        <w:keepNext w:val="0"/>
        <w:keepLines w:val="0"/>
        <w:pageBreakBefore w:val="0"/>
        <w:widowControl w:val="0"/>
        <w:kinsoku/>
        <w:wordWrap/>
        <w:overflowPunct/>
        <w:topLinePunct w:val="0"/>
        <w:autoSpaceDE w:val="0"/>
        <w:autoSpaceDN w:val="0"/>
        <w:bidi w:val="0"/>
        <w:adjustRightInd w:val="0"/>
        <w:spacing w:line="420" w:lineRule="atLeast"/>
        <w:jc w:val="left"/>
        <w:textAlignment w:val="auto"/>
        <w:outlineLvl w:val="9"/>
        <w:rPr>
          <w:rFonts w:ascii="宋体" w:hAnsi="宋体"/>
          <w:color w:val="auto"/>
          <w:kern w:val="0"/>
          <w:szCs w:val="21"/>
        </w:rPr>
      </w:pPr>
      <w:r>
        <w:rPr>
          <w:rFonts w:hint="eastAsia" w:ascii="宋体" w:hAnsi="宋体"/>
          <w:color w:val="auto"/>
          <w:kern w:val="0"/>
          <w:szCs w:val="21"/>
        </w:rPr>
        <w:t>4.2 投标文件的递交</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keepNext w:val="0"/>
        <w:keepLines w:val="0"/>
        <w:pageBreakBefore w:val="0"/>
        <w:widowControl w:val="0"/>
        <w:kinsoku/>
        <w:wordWrap/>
        <w:overflowPunct/>
        <w:topLinePunct w:val="0"/>
        <w:autoSpaceDE w:val="0"/>
        <w:autoSpaceDN w:val="0"/>
        <w:bidi w:val="0"/>
        <w:adjustRightInd w:val="0"/>
        <w:spacing w:line="420" w:lineRule="atLeast"/>
        <w:ind w:firstLine="539" w:firstLineChars="257"/>
        <w:jc w:val="left"/>
        <w:textAlignment w:val="auto"/>
        <w:outlineLvl w:val="9"/>
        <w:rPr>
          <w:rFonts w:ascii="宋体" w:hAnsi="宋体"/>
          <w:color w:val="auto"/>
          <w:kern w:val="0"/>
          <w:szCs w:val="21"/>
        </w:rPr>
      </w:pPr>
      <w:r>
        <w:rPr>
          <w:rFonts w:hint="eastAsia" w:ascii="宋体" w:hAnsi="宋体"/>
          <w:color w:val="auto"/>
          <w:kern w:val="0"/>
          <w:szCs w:val="21"/>
        </w:rPr>
        <w:t>4.2.1 投标人应在本章第5.1 项规定的投标截止时间前递交投标文件。</w:t>
      </w:r>
    </w:p>
    <w:p>
      <w:pPr>
        <w:keepNext w:val="0"/>
        <w:keepLines w:val="0"/>
        <w:pageBreakBefore w:val="0"/>
        <w:widowControl w:val="0"/>
        <w:kinsoku/>
        <w:wordWrap/>
        <w:overflowPunct/>
        <w:topLinePunct w:val="0"/>
        <w:autoSpaceDE w:val="0"/>
        <w:autoSpaceDN w:val="0"/>
        <w:bidi w:val="0"/>
        <w:adjustRightInd w:val="0"/>
        <w:spacing w:line="420" w:lineRule="atLeast"/>
        <w:ind w:firstLine="539" w:firstLineChars="257"/>
        <w:jc w:val="left"/>
        <w:textAlignment w:val="auto"/>
        <w:outlineLvl w:val="9"/>
        <w:rPr>
          <w:rFonts w:ascii="宋体" w:hAnsi="宋体"/>
          <w:color w:val="auto"/>
          <w:kern w:val="0"/>
          <w:szCs w:val="21"/>
        </w:rPr>
      </w:pPr>
      <w:r>
        <w:rPr>
          <w:rFonts w:hint="eastAsia" w:ascii="宋体" w:hAnsi="宋体"/>
          <w:color w:val="auto"/>
          <w:kern w:val="0"/>
          <w:szCs w:val="21"/>
        </w:rPr>
        <w:t>4.2.2 投标人递交投标文件的地点：见投标人须知前附表。</w:t>
      </w:r>
    </w:p>
    <w:p>
      <w:pPr>
        <w:keepNext w:val="0"/>
        <w:keepLines w:val="0"/>
        <w:pageBreakBefore w:val="0"/>
        <w:widowControl w:val="0"/>
        <w:kinsoku/>
        <w:wordWrap/>
        <w:overflowPunct/>
        <w:topLinePunct w:val="0"/>
        <w:autoSpaceDE w:val="0"/>
        <w:autoSpaceDN w:val="0"/>
        <w:bidi w:val="0"/>
        <w:adjustRightInd w:val="0"/>
        <w:spacing w:line="420" w:lineRule="atLeast"/>
        <w:ind w:firstLine="539" w:firstLineChars="257"/>
        <w:jc w:val="left"/>
        <w:textAlignment w:val="auto"/>
        <w:outlineLvl w:val="9"/>
        <w:rPr>
          <w:rFonts w:ascii="宋体" w:hAnsi="宋体"/>
          <w:color w:val="auto"/>
          <w:kern w:val="0"/>
          <w:szCs w:val="21"/>
        </w:rPr>
      </w:pPr>
      <w:r>
        <w:rPr>
          <w:rFonts w:hint="eastAsia" w:ascii="宋体" w:hAnsi="宋体"/>
          <w:color w:val="auto"/>
          <w:kern w:val="0"/>
          <w:szCs w:val="21"/>
        </w:rPr>
        <w:t>4.2.3 除投标人须知前附表另有规定外，投标人所递交的投标文件不予退还。</w:t>
      </w:r>
    </w:p>
    <w:p>
      <w:pPr>
        <w:keepNext w:val="0"/>
        <w:keepLines w:val="0"/>
        <w:pageBreakBefore w:val="0"/>
        <w:widowControl w:val="0"/>
        <w:kinsoku/>
        <w:wordWrap/>
        <w:overflowPunct/>
        <w:topLinePunct w:val="0"/>
        <w:autoSpaceDE w:val="0"/>
        <w:autoSpaceDN w:val="0"/>
        <w:bidi w:val="0"/>
        <w:adjustRightInd w:val="0"/>
        <w:spacing w:line="420" w:lineRule="atLeast"/>
        <w:ind w:firstLine="539" w:firstLineChars="257"/>
        <w:jc w:val="left"/>
        <w:textAlignment w:val="auto"/>
        <w:outlineLvl w:val="9"/>
        <w:rPr>
          <w:rFonts w:ascii="宋体" w:hAnsi="宋体"/>
          <w:color w:val="auto"/>
          <w:kern w:val="0"/>
          <w:szCs w:val="21"/>
        </w:rPr>
      </w:pPr>
      <w:r>
        <w:rPr>
          <w:rFonts w:hint="eastAsia" w:ascii="宋体" w:hAnsi="宋体"/>
          <w:color w:val="auto"/>
          <w:kern w:val="0"/>
          <w:szCs w:val="21"/>
        </w:rPr>
        <w:t>4.2.4 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420" w:lineRule="atLeast"/>
        <w:jc w:val="left"/>
        <w:textAlignment w:val="auto"/>
        <w:outlineLvl w:val="9"/>
        <w:rPr>
          <w:rFonts w:ascii="宋体" w:hAnsi="宋体"/>
          <w:color w:val="auto"/>
          <w:kern w:val="0"/>
          <w:szCs w:val="21"/>
        </w:rPr>
      </w:pPr>
      <w:bookmarkStart w:id="454" w:name="_Toc228337099"/>
      <w:bookmarkStart w:id="455" w:name="_Toc228589164"/>
      <w:bookmarkStart w:id="456" w:name="_Toc228591510"/>
      <w:bookmarkStart w:id="457" w:name="_Toc228591658"/>
      <w:bookmarkStart w:id="458" w:name="_Toc327565137"/>
      <w:bookmarkStart w:id="459" w:name="_Toc321472317"/>
      <w:bookmarkStart w:id="460" w:name="_Toc407442008"/>
      <w:bookmarkStart w:id="461" w:name="_Toc227492245"/>
      <w:bookmarkStart w:id="462" w:name="_Toc364341530"/>
      <w:bookmarkStart w:id="463" w:name="_Toc364341268"/>
      <w:bookmarkStart w:id="464" w:name="_Toc327599860"/>
      <w:bookmarkStart w:id="465" w:name="_Toc214433888"/>
      <w:bookmarkStart w:id="466" w:name="_Toc321472057"/>
      <w:bookmarkStart w:id="467" w:name="_Toc228881162"/>
      <w:bookmarkStart w:id="468" w:name="_Toc519168307"/>
      <w:bookmarkStart w:id="469" w:name="_Toc227657488"/>
      <w:r>
        <w:rPr>
          <w:rFonts w:hint="eastAsia" w:ascii="宋体" w:hAnsi="宋体"/>
          <w:color w:val="auto"/>
          <w:kern w:val="0"/>
          <w:szCs w:val="21"/>
        </w:rPr>
        <w:t>4.3 投标文件的修改与撤回</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keepNext w:val="0"/>
        <w:keepLines w:val="0"/>
        <w:pageBreakBefore w:val="0"/>
        <w:widowControl w:val="0"/>
        <w:kinsoku/>
        <w:wordWrap/>
        <w:overflowPunct/>
        <w:topLinePunct w:val="0"/>
        <w:autoSpaceDE w:val="0"/>
        <w:autoSpaceDN w:val="0"/>
        <w:bidi w:val="0"/>
        <w:adjustRightInd w:val="0"/>
        <w:spacing w:line="420" w:lineRule="atLeast"/>
        <w:ind w:firstLine="539" w:firstLineChars="257"/>
        <w:jc w:val="left"/>
        <w:textAlignment w:val="auto"/>
        <w:outlineLvl w:val="9"/>
        <w:rPr>
          <w:rFonts w:ascii="宋体" w:hAnsi="宋体"/>
          <w:color w:val="auto"/>
          <w:kern w:val="0"/>
          <w:szCs w:val="21"/>
        </w:rPr>
      </w:pPr>
      <w:r>
        <w:rPr>
          <w:rFonts w:hint="eastAsia" w:ascii="宋体" w:hAnsi="宋体"/>
          <w:color w:val="auto"/>
          <w:kern w:val="0"/>
          <w:szCs w:val="21"/>
        </w:rPr>
        <w:t>4.3.1 在本章第5.1 项规定的投标截止时间前，投标人可以修改或撤回已递交的投标文件，但应以书面形式通知招标人。</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4.3.2 投标人修改或撤回已递交投标文件的书面通知应按照本章第3.7.3项的要求签字或盖章。招标人收到书面通知后，向投标人出具签收凭证。</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4.3.3 修改的内容为投标文件的组成部分。修改的投标文件应按照本章第3条、第4条规定进行编制、密封、标记和递交，并标明“修改”字样。</w:t>
      </w:r>
    </w:p>
    <w:p>
      <w:pPr>
        <w:spacing w:before="120" w:after="120" w:line="360" w:lineRule="auto"/>
        <w:jc w:val="left"/>
        <w:rPr>
          <w:rFonts w:ascii="宋体" w:hAnsi="宋体"/>
          <w:bCs/>
          <w:color w:val="auto"/>
          <w:sz w:val="24"/>
        </w:rPr>
      </w:pPr>
      <w:bookmarkStart w:id="470" w:name="_Toc214433889"/>
      <w:bookmarkStart w:id="471" w:name="_Toc227492246"/>
      <w:bookmarkStart w:id="472" w:name="_Toc228591659"/>
      <w:bookmarkStart w:id="473" w:name="_Toc228589165"/>
      <w:bookmarkStart w:id="474" w:name="_Toc228337100"/>
      <w:bookmarkStart w:id="475" w:name="_Toc364341531"/>
      <w:bookmarkStart w:id="476" w:name="_Toc228591511"/>
      <w:bookmarkStart w:id="477" w:name="_Toc227657489"/>
      <w:bookmarkStart w:id="478" w:name="_Toc407442009"/>
      <w:bookmarkStart w:id="479" w:name="_Toc228881163"/>
      <w:bookmarkStart w:id="480" w:name="_Toc321472318"/>
      <w:bookmarkStart w:id="481" w:name="_Toc519168308"/>
      <w:r>
        <w:rPr>
          <w:rFonts w:hint="eastAsia" w:ascii="宋体" w:hAnsi="宋体"/>
          <w:bCs/>
          <w:color w:val="auto"/>
          <w:sz w:val="24"/>
        </w:rPr>
        <w:t>5. 开标</w:t>
      </w:r>
      <w:bookmarkEnd w:id="470"/>
      <w:bookmarkEnd w:id="471"/>
      <w:bookmarkEnd w:id="472"/>
      <w:bookmarkEnd w:id="473"/>
      <w:bookmarkEnd w:id="474"/>
      <w:bookmarkEnd w:id="475"/>
      <w:bookmarkEnd w:id="476"/>
      <w:bookmarkEnd w:id="477"/>
      <w:bookmarkEnd w:id="478"/>
      <w:bookmarkEnd w:id="479"/>
      <w:bookmarkEnd w:id="480"/>
      <w:bookmarkEnd w:id="481"/>
    </w:p>
    <w:p>
      <w:pPr>
        <w:keepNext w:val="0"/>
        <w:keepLines w:val="0"/>
        <w:pageBreakBefore w:val="0"/>
        <w:widowControl w:val="0"/>
        <w:kinsoku/>
        <w:wordWrap/>
        <w:overflowPunct/>
        <w:topLinePunct w:val="0"/>
        <w:autoSpaceDE w:val="0"/>
        <w:autoSpaceDN w:val="0"/>
        <w:bidi w:val="0"/>
        <w:snapToGrid w:val="0"/>
        <w:spacing w:after="160" w:line="420" w:lineRule="exact"/>
        <w:ind w:firstLine="420"/>
        <w:jc w:val="left"/>
        <w:textAlignment w:val="auto"/>
        <w:outlineLvl w:val="9"/>
        <w:rPr>
          <w:rFonts w:ascii="宋体" w:hAnsi="宋体"/>
          <w:color w:val="auto"/>
        </w:rPr>
      </w:pPr>
      <w:r>
        <w:rPr>
          <w:rFonts w:ascii="宋体" w:hAnsi="宋体"/>
          <w:color w:val="auto"/>
        </w:rPr>
        <w:t>本项目采用电子开标。到投标截止时间止，各投标人对电子投标文件进行解密，解密完成后各投标人的电子投标文件的实质性内容将自动显示在网页中。投标人在投标截止时间前未上传电子投标文件的将视为放弃投标，因投标人原因造成投标文件未解密成功的，视为撤销其投标文件；解密的投标文件不足三家时不再开标和唱标。</w:t>
      </w:r>
    </w:p>
    <w:p>
      <w:pPr>
        <w:keepNext w:val="0"/>
        <w:keepLines w:val="0"/>
        <w:pageBreakBefore w:val="0"/>
        <w:widowControl w:val="0"/>
        <w:kinsoku/>
        <w:wordWrap/>
        <w:overflowPunct/>
        <w:topLinePunct w:val="0"/>
        <w:autoSpaceDE w:val="0"/>
        <w:autoSpaceDN w:val="0"/>
        <w:bidi w:val="0"/>
        <w:adjustRightInd w:val="0"/>
        <w:spacing w:line="420" w:lineRule="exact"/>
        <w:jc w:val="left"/>
        <w:textAlignment w:val="auto"/>
        <w:outlineLvl w:val="9"/>
        <w:rPr>
          <w:rFonts w:ascii="宋体" w:hAnsi="宋体"/>
          <w:color w:val="auto"/>
          <w:kern w:val="0"/>
          <w:szCs w:val="21"/>
        </w:rPr>
      </w:pPr>
      <w:bookmarkStart w:id="482" w:name="_Toc321472319"/>
      <w:bookmarkStart w:id="483" w:name="_Toc407442010"/>
      <w:bookmarkStart w:id="484" w:name="_Toc519168309"/>
      <w:bookmarkStart w:id="485" w:name="_Toc364341270"/>
      <w:bookmarkStart w:id="486" w:name="_Toc364341532"/>
      <w:bookmarkStart w:id="487" w:name="_Toc214433890"/>
      <w:bookmarkStart w:id="488" w:name="_Toc228591512"/>
      <w:bookmarkStart w:id="489" w:name="_Toc228589166"/>
      <w:bookmarkStart w:id="490" w:name="_Toc228591660"/>
      <w:bookmarkStart w:id="491" w:name="_Toc228337101"/>
      <w:bookmarkStart w:id="492" w:name="_Toc228881164"/>
      <w:bookmarkStart w:id="493" w:name="_Toc327599862"/>
      <w:bookmarkStart w:id="494" w:name="_Toc321472059"/>
      <w:bookmarkStart w:id="495" w:name="_Toc227492247"/>
      <w:bookmarkStart w:id="496" w:name="_Toc327565139"/>
      <w:bookmarkStart w:id="497" w:name="_Toc227657490"/>
      <w:r>
        <w:rPr>
          <w:rFonts w:hint="eastAsia" w:ascii="宋体" w:hAnsi="宋体"/>
          <w:color w:val="auto"/>
          <w:kern w:val="0"/>
          <w:szCs w:val="21"/>
        </w:rPr>
        <w:t>5.1 开标时间和地点</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keepNext w:val="0"/>
        <w:keepLines w:val="0"/>
        <w:pageBreakBefore w:val="0"/>
        <w:widowControl w:val="0"/>
        <w:kinsoku/>
        <w:wordWrap/>
        <w:overflowPunct/>
        <w:topLinePunct w:val="0"/>
        <w:autoSpaceDE w:val="0"/>
        <w:autoSpaceDN w:val="0"/>
        <w:bidi w:val="0"/>
        <w:adjustRightInd w:val="0"/>
        <w:spacing w:line="420" w:lineRule="exact"/>
        <w:ind w:firstLine="420" w:firstLineChars="200"/>
        <w:jc w:val="left"/>
        <w:textAlignment w:val="auto"/>
        <w:outlineLvl w:val="9"/>
        <w:rPr>
          <w:rFonts w:ascii="宋体" w:hAnsi="宋体"/>
          <w:color w:val="auto"/>
          <w:kern w:val="0"/>
          <w:szCs w:val="21"/>
        </w:rPr>
      </w:pPr>
      <w:r>
        <w:rPr>
          <w:rFonts w:hint="eastAsia" w:ascii="宋体" w:hAnsi="宋体"/>
          <w:color w:val="auto"/>
          <w:kern w:val="0"/>
          <w:szCs w:val="21"/>
        </w:rPr>
        <w:t>在本章投标人须知前附表规定的投标截止时间（开标时间）和地点公开开标，并邀请所有投标单位准时参加。</w:t>
      </w:r>
    </w:p>
    <w:p>
      <w:pPr>
        <w:autoSpaceDE w:val="0"/>
        <w:autoSpaceDN w:val="0"/>
        <w:adjustRightInd w:val="0"/>
        <w:spacing w:line="420" w:lineRule="exact"/>
        <w:jc w:val="left"/>
        <w:rPr>
          <w:rFonts w:ascii="宋体" w:hAnsi="宋体"/>
          <w:color w:val="auto"/>
          <w:kern w:val="0"/>
          <w:szCs w:val="21"/>
        </w:rPr>
      </w:pPr>
      <w:bookmarkStart w:id="498" w:name="_Toc407442011"/>
      <w:bookmarkStart w:id="499" w:name="_Toc364341533"/>
      <w:bookmarkStart w:id="500" w:name="_Toc519168310"/>
      <w:bookmarkStart w:id="501" w:name="_Toc228337102"/>
      <w:bookmarkStart w:id="502" w:name="_Toc321472320"/>
      <w:bookmarkStart w:id="503" w:name="_Toc327565140"/>
      <w:bookmarkStart w:id="504" w:name="_Toc228881165"/>
      <w:bookmarkStart w:id="505" w:name="_Toc227657491"/>
      <w:bookmarkStart w:id="506" w:name="_Toc228591513"/>
      <w:bookmarkStart w:id="507" w:name="_Toc321472060"/>
      <w:bookmarkStart w:id="508" w:name="_Toc214433891"/>
      <w:bookmarkStart w:id="509" w:name="_Toc364341271"/>
      <w:bookmarkStart w:id="510" w:name="_Toc228591661"/>
      <w:bookmarkStart w:id="511" w:name="_Toc228589167"/>
      <w:bookmarkStart w:id="512" w:name="_Toc227492248"/>
      <w:bookmarkStart w:id="513" w:name="_Toc327599863"/>
      <w:r>
        <w:rPr>
          <w:rFonts w:hint="eastAsia" w:ascii="宋体" w:hAnsi="宋体"/>
          <w:color w:val="auto"/>
          <w:kern w:val="0"/>
          <w:szCs w:val="21"/>
        </w:rPr>
        <w:t>5.2 开标程序</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autoSpaceDE w:val="0"/>
        <w:autoSpaceDN w:val="0"/>
        <w:adjustRightInd w:val="0"/>
        <w:spacing w:line="420" w:lineRule="exact"/>
        <w:ind w:firstLine="359" w:firstLineChars="171"/>
        <w:jc w:val="left"/>
        <w:rPr>
          <w:rFonts w:ascii="宋体" w:hAnsi="宋体"/>
          <w:color w:val="auto"/>
          <w:kern w:val="0"/>
          <w:szCs w:val="21"/>
        </w:rPr>
      </w:pPr>
      <w:r>
        <w:rPr>
          <w:rFonts w:hint="eastAsia" w:ascii="宋体" w:hAnsi="宋体"/>
          <w:color w:val="auto"/>
          <w:kern w:val="0"/>
          <w:szCs w:val="21"/>
        </w:rPr>
        <w:t>详见投标人须知前附表</w:t>
      </w:r>
    </w:p>
    <w:p>
      <w:pPr>
        <w:spacing w:before="120" w:after="120" w:line="360" w:lineRule="auto"/>
        <w:jc w:val="left"/>
        <w:rPr>
          <w:rFonts w:ascii="宋体" w:hAnsi="宋体"/>
          <w:bCs/>
          <w:color w:val="auto"/>
          <w:sz w:val="24"/>
        </w:rPr>
      </w:pPr>
      <w:bookmarkStart w:id="514" w:name="_Toc228591662"/>
      <w:bookmarkStart w:id="515" w:name="_Toc321472321"/>
      <w:bookmarkStart w:id="516" w:name="_Toc228337103"/>
      <w:bookmarkStart w:id="517" w:name="_Toc227492249"/>
      <w:bookmarkStart w:id="518" w:name="_Toc227657492"/>
      <w:bookmarkStart w:id="519" w:name="_Toc364341534"/>
      <w:bookmarkStart w:id="520" w:name="_Toc228591514"/>
      <w:bookmarkStart w:id="521" w:name="_Toc214433892"/>
      <w:bookmarkStart w:id="522" w:name="_Toc407442012"/>
      <w:bookmarkStart w:id="523" w:name="_Toc519168311"/>
      <w:bookmarkStart w:id="524" w:name="_Toc228589168"/>
      <w:bookmarkStart w:id="525" w:name="_Toc228881166"/>
      <w:r>
        <w:rPr>
          <w:rFonts w:hint="eastAsia" w:ascii="宋体" w:hAnsi="宋体"/>
          <w:bCs/>
          <w:color w:val="auto"/>
          <w:sz w:val="24"/>
        </w:rPr>
        <w:t>6. 评标</w:t>
      </w:r>
      <w:bookmarkEnd w:id="514"/>
      <w:bookmarkEnd w:id="515"/>
      <w:bookmarkEnd w:id="516"/>
      <w:bookmarkEnd w:id="517"/>
      <w:bookmarkEnd w:id="518"/>
      <w:bookmarkEnd w:id="519"/>
      <w:bookmarkEnd w:id="520"/>
      <w:bookmarkEnd w:id="521"/>
      <w:bookmarkEnd w:id="522"/>
      <w:bookmarkEnd w:id="523"/>
      <w:bookmarkEnd w:id="524"/>
      <w:bookmarkEnd w:id="525"/>
    </w:p>
    <w:p>
      <w:pPr>
        <w:autoSpaceDE w:val="0"/>
        <w:autoSpaceDN w:val="0"/>
        <w:adjustRightInd w:val="0"/>
        <w:spacing w:line="420" w:lineRule="exact"/>
        <w:jc w:val="left"/>
        <w:rPr>
          <w:rFonts w:ascii="宋体" w:hAnsi="宋体"/>
          <w:color w:val="auto"/>
          <w:kern w:val="0"/>
          <w:szCs w:val="21"/>
        </w:rPr>
      </w:pPr>
      <w:bookmarkStart w:id="526" w:name="_Toc214433893"/>
      <w:bookmarkStart w:id="527" w:name="_Toc327599865"/>
      <w:bookmarkStart w:id="528" w:name="_Toc327565142"/>
      <w:bookmarkStart w:id="529" w:name="_Toc228881167"/>
      <w:bookmarkStart w:id="530" w:name="_Toc364341273"/>
      <w:bookmarkStart w:id="531" w:name="_Toc321472062"/>
      <w:bookmarkStart w:id="532" w:name="_Toc228337104"/>
      <w:bookmarkStart w:id="533" w:name="_Toc228589169"/>
      <w:bookmarkStart w:id="534" w:name="_Toc228591515"/>
      <w:bookmarkStart w:id="535" w:name="_Toc228591663"/>
      <w:bookmarkStart w:id="536" w:name="_Toc364341535"/>
      <w:bookmarkStart w:id="537" w:name="_Toc519168312"/>
      <w:bookmarkStart w:id="538" w:name="_Toc407442013"/>
      <w:bookmarkStart w:id="539" w:name="_Toc227657493"/>
      <w:bookmarkStart w:id="540" w:name="_Toc321472322"/>
      <w:bookmarkStart w:id="541" w:name="_Toc227492250"/>
      <w:r>
        <w:rPr>
          <w:rFonts w:hint="eastAsia" w:ascii="宋体" w:hAnsi="宋体"/>
          <w:color w:val="auto"/>
          <w:kern w:val="0"/>
          <w:szCs w:val="21"/>
        </w:rPr>
        <w:t>6.1 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6.1.1 评标由招标人依法组建的评标委员会负责。评标委员会由招标人代表及有关技术、经济等方面的专家组成。评标委员会成员人数以及技术、经济等方面专家的确定方式见投标人须知前附表。</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6.1.2 评标委员会成员有下列情形之一的，应当回避：</w:t>
      </w:r>
    </w:p>
    <w:p>
      <w:pPr>
        <w:autoSpaceDE w:val="0"/>
        <w:autoSpaceDN w:val="0"/>
        <w:adjustRightInd w:val="0"/>
        <w:spacing w:line="420" w:lineRule="exact"/>
        <w:ind w:firstLine="359" w:firstLineChars="171"/>
        <w:jc w:val="left"/>
        <w:rPr>
          <w:rFonts w:ascii="宋体" w:hAnsi="宋体"/>
          <w:color w:val="auto"/>
          <w:kern w:val="0"/>
          <w:szCs w:val="21"/>
        </w:rPr>
      </w:pPr>
      <w:r>
        <w:rPr>
          <w:rFonts w:hint="eastAsia" w:ascii="宋体" w:hAnsi="宋体"/>
          <w:color w:val="auto"/>
          <w:kern w:val="0"/>
          <w:szCs w:val="21"/>
        </w:rPr>
        <w:t>（1）招标人或投标人的主要负责人的近亲属；</w:t>
      </w:r>
    </w:p>
    <w:p>
      <w:pPr>
        <w:autoSpaceDE w:val="0"/>
        <w:autoSpaceDN w:val="0"/>
        <w:adjustRightInd w:val="0"/>
        <w:spacing w:line="420" w:lineRule="exact"/>
        <w:ind w:firstLine="359" w:firstLineChars="171"/>
        <w:jc w:val="left"/>
        <w:rPr>
          <w:rFonts w:ascii="宋体" w:hAnsi="宋体"/>
          <w:color w:val="auto"/>
          <w:kern w:val="0"/>
          <w:szCs w:val="21"/>
        </w:rPr>
      </w:pPr>
      <w:r>
        <w:rPr>
          <w:rFonts w:hint="eastAsia" w:ascii="宋体" w:hAnsi="宋体"/>
          <w:color w:val="auto"/>
          <w:kern w:val="0"/>
          <w:szCs w:val="21"/>
        </w:rPr>
        <w:t>（2）项目主管部门或者行政监督部门的人员；</w:t>
      </w:r>
    </w:p>
    <w:p>
      <w:pPr>
        <w:autoSpaceDE w:val="0"/>
        <w:autoSpaceDN w:val="0"/>
        <w:adjustRightInd w:val="0"/>
        <w:spacing w:line="420" w:lineRule="exact"/>
        <w:ind w:firstLine="359" w:firstLineChars="171"/>
        <w:jc w:val="left"/>
        <w:rPr>
          <w:rFonts w:ascii="宋体" w:hAnsi="宋体"/>
          <w:color w:val="auto"/>
          <w:kern w:val="0"/>
          <w:szCs w:val="21"/>
        </w:rPr>
      </w:pPr>
      <w:r>
        <w:rPr>
          <w:rFonts w:hint="eastAsia" w:ascii="宋体" w:hAnsi="宋体"/>
          <w:color w:val="auto"/>
          <w:kern w:val="0"/>
          <w:szCs w:val="21"/>
        </w:rPr>
        <w:t>（3）与投标人有经济利益关系，可能影响对投标公正评审的；</w:t>
      </w:r>
    </w:p>
    <w:p>
      <w:pPr>
        <w:autoSpaceDE w:val="0"/>
        <w:autoSpaceDN w:val="0"/>
        <w:adjustRightInd w:val="0"/>
        <w:spacing w:line="420" w:lineRule="exact"/>
        <w:ind w:firstLine="359" w:firstLineChars="171"/>
        <w:jc w:val="left"/>
        <w:rPr>
          <w:rFonts w:ascii="宋体" w:hAnsi="宋体"/>
          <w:color w:val="auto"/>
          <w:kern w:val="0"/>
          <w:szCs w:val="21"/>
        </w:rPr>
      </w:pPr>
      <w:r>
        <w:rPr>
          <w:rFonts w:hint="eastAsia" w:ascii="宋体" w:hAnsi="宋体"/>
          <w:color w:val="auto"/>
          <w:kern w:val="0"/>
          <w:szCs w:val="21"/>
        </w:rPr>
        <w:t>（4）曾因在招标、评标以及其他与招标投标有关活动中从事违法行为而受过行政处罚或刑事处罚的。</w:t>
      </w:r>
    </w:p>
    <w:p>
      <w:pPr>
        <w:autoSpaceDE w:val="0"/>
        <w:autoSpaceDN w:val="0"/>
        <w:adjustRightInd w:val="0"/>
        <w:spacing w:line="420" w:lineRule="exact"/>
        <w:jc w:val="left"/>
        <w:rPr>
          <w:rFonts w:ascii="宋体" w:hAnsi="宋体"/>
          <w:color w:val="auto"/>
          <w:kern w:val="0"/>
          <w:szCs w:val="21"/>
        </w:rPr>
      </w:pPr>
      <w:bookmarkStart w:id="542" w:name="_Toc519168313"/>
      <w:bookmarkStart w:id="543" w:name="_Toc321472063"/>
      <w:bookmarkStart w:id="544" w:name="_Toc214433894"/>
      <w:bookmarkStart w:id="545" w:name="_Toc327599866"/>
      <w:bookmarkStart w:id="546" w:name="_Toc228337105"/>
      <w:bookmarkStart w:id="547" w:name="_Toc227657494"/>
      <w:bookmarkStart w:id="548" w:name="_Toc364341274"/>
      <w:bookmarkStart w:id="549" w:name="_Toc228589170"/>
      <w:bookmarkStart w:id="550" w:name="_Toc321472323"/>
      <w:bookmarkStart w:id="551" w:name="_Toc228881168"/>
      <w:bookmarkStart w:id="552" w:name="_Toc327565143"/>
      <w:bookmarkStart w:id="553" w:name="_Toc364341536"/>
      <w:bookmarkStart w:id="554" w:name="_Toc407442014"/>
      <w:bookmarkStart w:id="555" w:name="_Toc228591516"/>
      <w:bookmarkStart w:id="556" w:name="_Toc227492251"/>
      <w:bookmarkStart w:id="557" w:name="_Toc228591664"/>
      <w:r>
        <w:rPr>
          <w:rFonts w:hint="eastAsia" w:ascii="宋体" w:hAnsi="宋体"/>
          <w:color w:val="auto"/>
          <w:kern w:val="0"/>
          <w:szCs w:val="21"/>
        </w:rPr>
        <w:t>6.2 评标原则</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评标活动遵循公平、公正、科学和择优的原则。</w:t>
      </w:r>
    </w:p>
    <w:p>
      <w:pPr>
        <w:autoSpaceDE w:val="0"/>
        <w:autoSpaceDN w:val="0"/>
        <w:adjustRightInd w:val="0"/>
        <w:spacing w:line="420" w:lineRule="exact"/>
        <w:jc w:val="left"/>
        <w:rPr>
          <w:rFonts w:ascii="宋体" w:hAnsi="宋体"/>
          <w:color w:val="auto"/>
          <w:kern w:val="0"/>
          <w:szCs w:val="21"/>
        </w:rPr>
      </w:pPr>
      <w:bookmarkStart w:id="558" w:name="_Toc407442015"/>
      <w:bookmarkStart w:id="559" w:name="_Toc228589171"/>
      <w:bookmarkStart w:id="560" w:name="_Toc519168314"/>
      <w:bookmarkStart w:id="561" w:name="_Toc321472064"/>
      <w:bookmarkStart w:id="562" w:name="_Toc228337106"/>
      <w:bookmarkStart w:id="563" w:name="_Toc228591517"/>
      <w:bookmarkStart w:id="564" w:name="_Toc227492252"/>
      <w:bookmarkStart w:id="565" w:name="_Toc214433895"/>
      <w:bookmarkStart w:id="566" w:name="_Toc364341537"/>
      <w:bookmarkStart w:id="567" w:name="_Toc364341275"/>
      <w:bookmarkStart w:id="568" w:name="_Toc228591665"/>
      <w:bookmarkStart w:id="569" w:name="_Toc227657495"/>
      <w:bookmarkStart w:id="570" w:name="_Toc327599867"/>
      <w:bookmarkStart w:id="571" w:name="_Toc321472324"/>
      <w:bookmarkStart w:id="572" w:name="_Toc327565144"/>
      <w:bookmarkStart w:id="573" w:name="_Toc228881169"/>
      <w:r>
        <w:rPr>
          <w:rFonts w:hint="eastAsia" w:ascii="宋体" w:hAnsi="宋体"/>
          <w:color w:val="auto"/>
          <w:kern w:val="0"/>
          <w:szCs w:val="21"/>
        </w:rPr>
        <w:t>6.3 评标</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评标委员会按照第三章“评标办法”规定的方法、评审因素、标准和程序及招标文件中对投标文件的要求进行评审。第三章“评标办法”及招标文件中没有规定的方法、评审因素和标准，不作为评标依据。</w:t>
      </w:r>
    </w:p>
    <w:p>
      <w:pPr>
        <w:spacing w:before="120" w:after="120" w:line="360" w:lineRule="auto"/>
        <w:jc w:val="left"/>
        <w:rPr>
          <w:rFonts w:ascii="宋体" w:hAnsi="宋体"/>
          <w:bCs/>
          <w:color w:val="auto"/>
          <w:sz w:val="24"/>
        </w:rPr>
      </w:pPr>
      <w:bookmarkStart w:id="574" w:name="_Toc321472325"/>
      <w:bookmarkStart w:id="575" w:name="_Toc227492253"/>
      <w:bookmarkStart w:id="576" w:name="_Toc228591666"/>
      <w:bookmarkStart w:id="577" w:name="_Toc228589172"/>
      <w:bookmarkStart w:id="578" w:name="_Toc214433896"/>
      <w:bookmarkStart w:id="579" w:name="_Toc228337107"/>
      <w:bookmarkStart w:id="580" w:name="_Toc228881170"/>
      <w:bookmarkStart w:id="581" w:name="_Toc519168315"/>
      <w:bookmarkStart w:id="582" w:name="_Toc227657496"/>
      <w:bookmarkStart w:id="583" w:name="_Toc364341538"/>
      <w:bookmarkStart w:id="584" w:name="_Toc228591518"/>
      <w:bookmarkStart w:id="585" w:name="_Toc407442016"/>
      <w:r>
        <w:rPr>
          <w:rFonts w:hint="eastAsia" w:ascii="宋体" w:hAnsi="宋体"/>
          <w:bCs/>
          <w:color w:val="auto"/>
          <w:sz w:val="24"/>
        </w:rPr>
        <w:t>7. 合同授予</w:t>
      </w:r>
      <w:bookmarkEnd w:id="574"/>
      <w:bookmarkEnd w:id="575"/>
      <w:bookmarkEnd w:id="576"/>
      <w:bookmarkEnd w:id="577"/>
      <w:bookmarkEnd w:id="578"/>
      <w:bookmarkEnd w:id="579"/>
      <w:bookmarkEnd w:id="580"/>
      <w:bookmarkEnd w:id="581"/>
      <w:bookmarkEnd w:id="582"/>
      <w:bookmarkEnd w:id="583"/>
      <w:bookmarkEnd w:id="584"/>
      <w:bookmarkEnd w:id="585"/>
    </w:p>
    <w:p>
      <w:pPr>
        <w:autoSpaceDE w:val="0"/>
        <w:autoSpaceDN w:val="0"/>
        <w:adjustRightInd w:val="0"/>
        <w:spacing w:line="420" w:lineRule="exact"/>
        <w:jc w:val="left"/>
        <w:rPr>
          <w:rFonts w:ascii="宋体" w:hAnsi="宋体"/>
          <w:color w:val="auto"/>
          <w:kern w:val="0"/>
          <w:szCs w:val="21"/>
        </w:rPr>
      </w:pPr>
      <w:bookmarkStart w:id="586" w:name="_Toc364341277"/>
      <w:bookmarkStart w:id="587" w:name="_Toc228591667"/>
      <w:bookmarkStart w:id="588" w:name="_Toc227657497"/>
      <w:bookmarkStart w:id="589" w:name="_Toc327599869"/>
      <w:bookmarkStart w:id="590" w:name="_Toc407442017"/>
      <w:bookmarkStart w:id="591" w:name="_Toc228591519"/>
      <w:bookmarkStart w:id="592" w:name="_Toc214433897"/>
      <w:bookmarkStart w:id="593" w:name="_Toc228881171"/>
      <w:bookmarkStart w:id="594" w:name="_Toc321472066"/>
      <w:bookmarkStart w:id="595" w:name="_Toc227492254"/>
      <w:bookmarkStart w:id="596" w:name="_Toc327565146"/>
      <w:bookmarkStart w:id="597" w:name="_Toc321472326"/>
      <w:bookmarkStart w:id="598" w:name="_Toc228589173"/>
      <w:bookmarkStart w:id="599" w:name="_Toc519168316"/>
      <w:bookmarkStart w:id="600" w:name="_Toc364341539"/>
      <w:bookmarkStart w:id="601" w:name="_Toc228337108"/>
      <w:r>
        <w:rPr>
          <w:rFonts w:hint="eastAsia" w:ascii="宋体" w:hAnsi="宋体"/>
          <w:color w:val="auto"/>
          <w:kern w:val="0"/>
          <w:szCs w:val="21"/>
        </w:rPr>
        <w:t>7.1 定标方式</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除投标人须知前附表规定评标委员会直接确定中标人外，从评标委员会推荐的中标候选人中确定中标人，评标委员会推荐中标候选人的人数见投标人须知前附表。</w:t>
      </w:r>
    </w:p>
    <w:p>
      <w:pPr>
        <w:autoSpaceDE w:val="0"/>
        <w:autoSpaceDN w:val="0"/>
        <w:adjustRightInd w:val="0"/>
        <w:spacing w:line="420" w:lineRule="exact"/>
        <w:jc w:val="left"/>
        <w:rPr>
          <w:rFonts w:ascii="宋体" w:hAnsi="宋体"/>
          <w:color w:val="auto"/>
          <w:kern w:val="0"/>
          <w:szCs w:val="21"/>
        </w:rPr>
      </w:pPr>
      <w:bookmarkStart w:id="602" w:name="_Toc228591520"/>
      <w:bookmarkStart w:id="603" w:name="_Toc327599870"/>
      <w:bookmarkStart w:id="604" w:name="_Toc228589174"/>
      <w:bookmarkStart w:id="605" w:name="_Toc228337109"/>
      <w:bookmarkStart w:id="606" w:name="_Toc364341278"/>
      <w:bookmarkStart w:id="607" w:name="_Toc214433898"/>
      <w:bookmarkStart w:id="608" w:name="_Toc228591668"/>
      <w:bookmarkStart w:id="609" w:name="_Toc321472327"/>
      <w:bookmarkStart w:id="610" w:name="_Toc327565147"/>
      <w:bookmarkStart w:id="611" w:name="_Toc227492255"/>
      <w:bookmarkStart w:id="612" w:name="_Toc321472067"/>
      <w:bookmarkStart w:id="613" w:name="_Toc227657498"/>
      <w:bookmarkStart w:id="614" w:name="_Toc364341540"/>
      <w:bookmarkStart w:id="615" w:name="_Toc407442018"/>
      <w:bookmarkStart w:id="616" w:name="_Toc228881172"/>
      <w:bookmarkStart w:id="617" w:name="_Toc519168317"/>
      <w:r>
        <w:rPr>
          <w:rFonts w:hint="eastAsia" w:ascii="宋体" w:hAnsi="宋体"/>
          <w:color w:val="auto"/>
          <w:kern w:val="0"/>
          <w:szCs w:val="21"/>
        </w:rPr>
        <w:t>7.2 中标通知</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在本章第3.3 款规定的投标有效期内，招标人以书面形式向中标人发出中标通知书，同时将中标结果通知未中标的投标人。</w:t>
      </w:r>
    </w:p>
    <w:p>
      <w:pPr>
        <w:autoSpaceDE w:val="0"/>
        <w:autoSpaceDN w:val="0"/>
        <w:adjustRightInd w:val="0"/>
        <w:spacing w:line="420" w:lineRule="exact"/>
        <w:jc w:val="left"/>
        <w:rPr>
          <w:rFonts w:ascii="宋体" w:hAnsi="宋体"/>
          <w:color w:val="auto"/>
          <w:kern w:val="0"/>
          <w:szCs w:val="21"/>
        </w:rPr>
      </w:pPr>
      <w:bookmarkStart w:id="618" w:name="_Toc228881173"/>
      <w:bookmarkStart w:id="619" w:name="_Toc227492256"/>
      <w:bookmarkStart w:id="620" w:name="_Toc321472328"/>
      <w:bookmarkStart w:id="621" w:name="_Toc227657499"/>
      <w:bookmarkStart w:id="622" w:name="_Toc407442019"/>
      <w:bookmarkStart w:id="623" w:name="_Toc228589175"/>
      <w:bookmarkStart w:id="624" w:name="_Toc519168318"/>
      <w:bookmarkStart w:id="625" w:name="_Toc321472068"/>
      <w:bookmarkStart w:id="626" w:name="_Toc228591521"/>
      <w:bookmarkStart w:id="627" w:name="_Toc228337110"/>
      <w:bookmarkStart w:id="628" w:name="_Toc327565148"/>
      <w:bookmarkStart w:id="629" w:name="_Toc364341279"/>
      <w:bookmarkStart w:id="630" w:name="_Toc327599871"/>
      <w:bookmarkStart w:id="631" w:name="_Toc214433899"/>
      <w:bookmarkStart w:id="632" w:name="_Toc228591669"/>
      <w:bookmarkStart w:id="633" w:name="_Toc364341541"/>
      <w:r>
        <w:rPr>
          <w:rFonts w:hint="eastAsia" w:ascii="宋体" w:hAnsi="宋体"/>
          <w:color w:val="auto"/>
          <w:kern w:val="0"/>
          <w:szCs w:val="21"/>
        </w:rPr>
        <w:t>7.3 履约担保</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7.3.2 中标人不能按本章第7.3.1 项要求提交履约担保的，视为放弃中标，中标人还应当对超过部分予以赔偿。</w:t>
      </w:r>
    </w:p>
    <w:p>
      <w:pPr>
        <w:autoSpaceDE w:val="0"/>
        <w:autoSpaceDN w:val="0"/>
        <w:adjustRightInd w:val="0"/>
        <w:spacing w:line="420" w:lineRule="exact"/>
        <w:jc w:val="left"/>
        <w:rPr>
          <w:rFonts w:ascii="宋体" w:hAnsi="宋体"/>
          <w:color w:val="auto"/>
          <w:kern w:val="0"/>
          <w:szCs w:val="21"/>
        </w:rPr>
      </w:pPr>
      <w:bookmarkStart w:id="634" w:name="_Toc364341280"/>
      <w:bookmarkStart w:id="635" w:name="_Toc227492257"/>
      <w:bookmarkStart w:id="636" w:name="_Toc519168319"/>
      <w:bookmarkStart w:id="637" w:name="_Toc321472329"/>
      <w:bookmarkStart w:id="638" w:name="_Toc321472069"/>
      <w:bookmarkStart w:id="639" w:name="_Toc228591670"/>
      <w:bookmarkStart w:id="640" w:name="_Toc228589176"/>
      <w:bookmarkStart w:id="641" w:name="_Toc214433900"/>
      <w:bookmarkStart w:id="642" w:name="_Toc228337111"/>
      <w:bookmarkStart w:id="643" w:name="_Toc228881174"/>
      <w:bookmarkStart w:id="644" w:name="_Toc327599872"/>
      <w:bookmarkStart w:id="645" w:name="_Toc228591522"/>
      <w:bookmarkStart w:id="646" w:name="_Toc364341542"/>
      <w:bookmarkStart w:id="647" w:name="_Toc327565149"/>
      <w:bookmarkStart w:id="648" w:name="_Toc227657500"/>
      <w:bookmarkStart w:id="649" w:name="_Toc407442020"/>
      <w:r>
        <w:rPr>
          <w:rFonts w:hint="eastAsia" w:ascii="宋体" w:hAnsi="宋体"/>
          <w:color w:val="auto"/>
          <w:kern w:val="0"/>
          <w:szCs w:val="21"/>
        </w:rPr>
        <w:t>7.4 签订合同</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7.4.1 招标人和中标人应当自中标通知书发出之日起30天内，根据招标文件和中标人的投标文件订立书面合同。中标人无正当理由拒签合同的，招标人取消其中标资格。</w:t>
      </w:r>
    </w:p>
    <w:p>
      <w:pPr>
        <w:autoSpaceDE w:val="0"/>
        <w:autoSpaceDN w:val="0"/>
        <w:adjustRightInd w:val="0"/>
        <w:spacing w:line="420" w:lineRule="exact"/>
        <w:ind w:firstLine="315" w:firstLineChars="150"/>
        <w:jc w:val="left"/>
        <w:rPr>
          <w:rFonts w:ascii="宋体" w:hAnsi="宋体"/>
          <w:color w:val="auto"/>
          <w:kern w:val="0"/>
          <w:szCs w:val="21"/>
        </w:rPr>
      </w:pPr>
      <w:bookmarkStart w:id="650" w:name="_Toc231783606"/>
      <w:bookmarkStart w:id="651" w:name="_Toc231031247"/>
      <w:bookmarkStart w:id="652" w:name="_Toc233775487"/>
      <w:r>
        <w:rPr>
          <w:rFonts w:hint="eastAsia" w:ascii="宋体" w:hAnsi="宋体"/>
          <w:color w:val="auto"/>
          <w:kern w:val="0"/>
          <w:szCs w:val="21"/>
        </w:rPr>
        <w:t>7.4.2 发出中标通知书后，招标人无正当理由拒签合同的，招标人向中标人还应当赔偿解决损失。</w:t>
      </w:r>
      <w:bookmarkEnd w:id="650"/>
      <w:bookmarkEnd w:id="651"/>
      <w:bookmarkEnd w:id="652"/>
    </w:p>
    <w:p>
      <w:pPr>
        <w:spacing w:before="120" w:after="120" w:line="360" w:lineRule="auto"/>
        <w:jc w:val="left"/>
        <w:rPr>
          <w:rFonts w:ascii="宋体" w:hAnsi="宋体"/>
          <w:bCs/>
          <w:color w:val="auto"/>
          <w:sz w:val="24"/>
        </w:rPr>
      </w:pPr>
      <w:bookmarkStart w:id="653" w:name="_Toc228591671"/>
      <w:bookmarkStart w:id="654" w:name="_Toc228337112"/>
      <w:bookmarkStart w:id="655" w:name="_Toc519168320"/>
      <w:bookmarkStart w:id="656" w:name="_Toc227657501"/>
      <w:bookmarkStart w:id="657" w:name="_Toc214433901"/>
      <w:bookmarkStart w:id="658" w:name="_Toc228589177"/>
      <w:bookmarkStart w:id="659" w:name="_Toc407442021"/>
      <w:bookmarkStart w:id="660" w:name="_Toc227492258"/>
      <w:bookmarkStart w:id="661" w:name="_Toc228881175"/>
      <w:bookmarkStart w:id="662" w:name="_Toc228591523"/>
      <w:bookmarkStart w:id="663" w:name="_Toc321472330"/>
      <w:bookmarkStart w:id="664" w:name="_Toc364341543"/>
      <w:r>
        <w:rPr>
          <w:rFonts w:hint="eastAsia" w:ascii="宋体" w:hAnsi="宋体"/>
          <w:bCs/>
          <w:color w:val="auto"/>
          <w:sz w:val="24"/>
        </w:rPr>
        <w:t>8. 重新招标和不再招标</w:t>
      </w:r>
      <w:bookmarkEnd w:id="653"/>
      <w:bookmarkEnd w:id="654"/>
      <w:bookmarkEnd w:id="655"/>
      <w:bookmarkEnd w:id="656"/>
      <w:bookmarkEnd w:id="657"/>
      <w:bookmarkEnd w:id="658"/>
      <w:bookmarkEnd w:id="659"/>
      <w:bookmarkEnd w:id="660"/>
      <w:bookmarkEnd w:id="661"/>
      <w:bookmarkEnd w:id="662"/>
      <w:bookmarkEnd w:id="663"/>
      <w:bookmarkEnd w:id="664"/>
    </w:p>
    <w:p>
      <w:pPr>
        <w:autoSpaceDE w:val="0"/>
        <w:autoSpaceDN w:val="0"/>
        <w:adjustRightInd w:val="0"/>
        <w:spacing w:line="420" w:lineRule="exact"/>
        <w:jc w:val="left"/>
        <w:rPr>
          <w:rFonts w:ascii="宋体" w:hAnsi="宋体"/>
          <w:color w:val="auto"/>
          <w:kern w:val="0"/>
          <w:szCs w:val="21"/>
        </w:rPr>
      </w:pPr>
      <w:bookmarkStart w:id="665" w:name="_Toc327565151"/>
      <w:bookmarkStart w:id="666" w:name="_Toc214433902"/>
      <w:bookmarkStart w:id="667" w:name="_Toc364341544"/>
      <w:bookmarkStart w:id="668" w:name="_Toc327599874"/>
      <w:bookmarkStart w:id="669" w:name="_Toc407442022"/>
      <w:bookmarkStart w:id="670" w:name="_Toc519168321"/>
      <w:bookmarkStart w:id="671" w:name="_Toc228881176"/>
      <w:bookmarkStart w:id="672" w:name="_Toc321472071"/>
      <w:bookmarkStart w:id="673" w:name="_Toc364341282"/>
      <w:bookmarkStart w:id="674" w:name="_Toc227657502"/>
      <w:bookmarkStart w:id="675" w:name="_Toc228591672"/>
      <w:bookmarkStart w:id="676" w:name="_Toc228591524"/>
      <w:bookmarkStart w:id="677" w:name="_Toc228337113"/>
      <w:bookmarkStart w:id="678" w:name="_Toc321472331"/>
      <w:bookmarkStart w:id="679" w:name="_Toc228589178"/>
      <w:bookmarkStart w:id="680" w:name="_Toc227492259"/>
      <w:r>
        <w:rPr>
          <w:rFonts w:hint="eastAsia" w:ascii="宋体" w:hAnsi="宋体"/>
          <w:color w:val="auto"/>
          <w:kern w:val="0"/>
          <w:szCs w:val="21"/>
        </w:rPr>
        <w:t>8.1 重新招标</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autoSpaceDE w:val="0"/>
        <w:autoSpaceDN w:val="0"/>
        <w:adjustRightInd w:val="0"/>
        <w:spacing w:line="420" w:lineRule="exact"/>
        <w:ind w:firstLine="539" w:firstLineChars="257"/>
        <w:jc w:val="left"/>
        <w:rPr>
          <w:rFonts w:ascii="宋体" w:hAnsi="宋体"/>
          <w:color w:val="auto"/>
          <w:kern w:val="0"/>
          <w:szCs w:val="21"/>
        </w:rPr>
      </w:pPr>
      <w:r>
        <w:rPr>
          <w:rFonts w:hint="eastAsia" w:ascii="宋体" w:hAnsi="宋体"/>
          <w:color w:val="auto"/>
          <w:kern w:val="0"/>
          <w:szCs w:val="21"/>
        </w:rPr>
        <w:t>有下列情形之一的，招标人将重新招标：</w:t>
      </w:r>
    </w:p>
    <w:p>
      <w:pPr>
        <w:keepNext w:val="0"/>
        <w:keepLines w:val="0"/>
        <w:pageBreakBefore w:val="0"/>
        <w:kinsoku/>
        <w:wordWrap/>
        <w:overflowPunct/>
        <w:topLinePunct w:val="0"/>
        <w:autoSpaceDE w:val="0"/>
        <w:autoSpaceDN w:val="0"/>
        <w:bidi w:val="0"/>
        <w:adjustRightInd w:val="0"/>
        <w:snapToGrid/>
        <w:spacing w:line="420" w:lineRule="exact"/>
        <w:ind w:firstLine="539" w:firstLineChars="257"/>
        <w:jc w:val="left"/>
        <w:textAlignment w:val="auto"/>
        <w:outlineLvl w:val="9"/>
        <w:rPr>
          <w:rFonts w:ascii="宋体" w:hAnsi="宋体"/>
          <w:color w:val="auto"/>
          <w:kern w:val="0"/>
          <w:szCs w:val="21"/>
        </w:rPr>
      </w:pPr>
      <w:r>
        <w:rPr>
          <w:rFonts w:hint="eastAsia" w:ascii="宋体" w:hAnsi="宋体"/>
          <w:color w:val="auto"/>
          <w:kern w:val="0"/>
          <w:szCs w:val="21"/>
        </w:rPr>
        <w:t>（1）投标截止时间止，投标人少于3 个的；</w:t>
      </w:r>
    </w:p>
    <w:p>
      <w:pPr>
        <w:keepNext w:val="0"/>
        <w:keepLines w:val="0"/>
        <w:pageBreakBefore w:val="0"/>
        <w:kinsoku/>
        <w:wordWrap/>
        <w:overflowPunct/>
        <w:topLinePunct w:val="0"/>
        <w:autoSpaceDE w:val="0"/>
        <w:autoSpaceDN w:val="0"/>
        <w:bidi w:val="0"/>
        <w:adjustRightInd w:val="0"/>
        <w:snapToGrid/>
        <w:spacing w:line="420" w:lineRule="exact"/>
        <w:ind w:firstLine="539" w:firstLineChars="257"/>
        <w:jc w:val="left"/>
        <w:textAlignment w:val="auto"/>
        <w:outlineLvl w:val="9"/>
        <w:rPr>
          <w:rFonts w:hint="eastAsia" w:ascii="宋体" w:hAnsi="宋体"/>
          <w:color w:val="auto"/>
          <w:kern w:val="0"/>
          <w:szCs w:val="21"/>
        </w:rPr>
      </w:pPr>
      <w:r>
        <w:rPr>
          <w:rFonts w:hint="eastAsia" w:ascii="宋体" w:hAnsi="宋体"/>
          <w:color w:val="auto"/>
          <w:kern w:val="0"/>
          <w:szCs w:val="21"/>
        </w:rPr>
        <w:t>（2）经评标委员会评审后否决所有投标的。</w:t>
      </w:r>
    </w:p>
    <w:p>
      <w:pPr>
        <w:keepNext w:val="0"/>
        <w:keepLines w:val="0"/>
        <w:pageBreakBefore w:val="0"/>
        <w:kinsoku/>
        <w:wordWrap/>
        <w:overflowPunct/>
        <w:topLinePunct w:val="0"/>
        <w:autoSpaceDE w:val="0"/>
        <w:autoSpaceDN w:val="0"/>
        <w:bidi w:val="0"/>
        <w:adjustRightInd w:val="0"/>
        <w:snapToGrid/>
        <w:spacing w:line="420" w:lineRule="exact"/>
        <w:ind w:firstLine="539" w:firstLineChars="257"/>
        <w:jc w:val="lef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（3）评审过程中，有效投标人不足两家时，视为无竞争力，应当重新招标。</w:t>
      </w:r>
    </w:p>
    <w:p>
      <w:pPr>
        <w:keepNext w:val="0"/>
        <w:keepLines w:val="0"/>
        <w:pageBreakBefore w:val="0"/>
        <w:kinsoku/>
        <w:wordWrap/>
        <w:overflowPunct/>
        <w:topLinePunct w:val="0"/>
        <w:autoSpaceDE w:val="0"/>
        <w:autoSpaceDN w:val="0"/>
        <w:bidi w:val="0"/>
        <w:adjustRightInd w:val="0"/>
        <w:snapToGrid/>
        <w:spacing w:line="420" w:lineRule="exact"/>
        <w:jc w:val="left"/>
        <w:textAlignment w:val="auto"/>
        <w:outlineLvl w:val="9"/>
        <w:rPr>
          <w:rFonts w:ascii="宋体" w:hAnsi="宋体"/>
          <w:color w:val="auto"/>
          <w:kern w:val="0"/>
          <w:szCs w:val="21"/>
        </w:rPr>
      </w:pPr>
      <w:bookmarkStart w:id="681" w:name="_Toc227657503"/>
      <w:bookmarkStart w:id="682" w:name="_Toc364341545"/>
      <w:bookmarkStart w:id="683" w:name="_Toc327599875"/>
      <w:bookmarkStart w:id="684" w:name="_Toc227492260"/>
      <w:bookmarkStart w:id="685" w:name="_Toc228591525"/>
      <w:bookmarkStart w:id="686" w:name="_Toc407442023"/>
      <w:bookmarkStart w:id="687" w:name="_Toc228337114"/>
      <w:bookmarkStart w:id="688" w:name="_Toc214433903"/>
      <w:bookmarkStart w:id="689" w:name="_Toc519168322"/>
      <w:bookmarkStart w:id="690" w:name="_Toc364341283"/>
      <w:bookmarkStart w:id="691" w:name="_Toc228881177"/>
      <w:bookmarkStart w:id="692" w:name="_Toc228589179"/>
      <w:bookmarkStart w:id="693" w:name="_Toc228591673"/>
      <w:bookmarkStart w:id="694" w:name="_Toc327565152"/>
      <w:bookmarkStart w:id="695" w:name="_Toc321472332"/>
      <w:bookmarkStart w:id="696" w:name="_Toc321472072"/>
      <w:r>
        <w:rPr>
          <w:rFonts w:hint="eastAsia" w:ascii="宋体" w:hAnsi="宋体"/>
          <w:color w:val="auto"/>
          <w:kern w:val="0"/>
          <w:szCs w:val="21"/>
        </w:rPr>
        <w:t>8.2 不再招标</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重新招标后投标人仍少于3个或者所有投标被否决的，属于必须审批或核准的工程建设项目，经原审批或核准部门批准后不再进行招标。</w:t>
      </w:r>
    </w:p>
    <w:p>
      <w:pPr>
        <w:spacing w:before="120" w:after="120" w:line="360" w:lineRule="auto"/>
        <w:jc w:val="left"/>
        <w:rPr>
          <w:rFonts w:ascii="宋体" w:hAnsi="宋体"/>
          <w:bCs/>
          <w:color w:val="auto"/>
          <w:sz w:val="24"/>
        </w:rPr>
      </w:pPr>
      <w:bookmarkStart w:id="697" w:name="_Toc227657504"/>
      <w:bookmarkStart w:id="698" w:name="_Toc228589180"/>
      <w:bookmarkStart w:id="699" w:name="_Toc228591674"/>
      <w:bookmarkStart w:id="700" w:name="_Toc228337115"/>
      <w:bookmarkStart w:id="701" w:name="_Toc364341546"/>
      <w:bookmarkStart w:id="702" w:name="_Toc519168323"/>
      <w:bookmarkStart w:id="703" w:name="_Toc228591526"/>
      <w:bookmarkStart w:id="704" w:name="_Toc227492261"/>
      <w:bookmarkStart w:id="705" w:name="_Toc228881178"/>
      <w:bookmarkStart w:id="706" w:name="_Toc407442024"/>
      <w:bookmarkStart w:id="707" w:name="_Toc214433904"/>
      <w:bookmarkStart w:id="708" w:name="_Toc321472333"/>
      <w:r>
        <w:rPr>
          <w:rFonts w:hint="eastAsia" w:ascii="宋体" w:hAnsi="宋体"/>
          <w:bCs/>
          <w:color w:val="auto"/>
          <w:sz w:val="24"/>
        </w:rPr>
        <w:t>9. 纪律和监督</w:t>
      </w:r>
      <w:bookmarkEnd w:id="697"/>
      <w:bookmarkEnd w:id="698"/>
      <w:bookmarkEnd w:id="699"/>
      <w:bookmarkEnd w:id="700"/>
      <w:bookmarkEnd w:id="701"/>
      <w:bookmarkEnd w:id="702"/>
      <w:bookmarkEnd w:id="703"/>
      <w:bookmarkEnd w:id="704"/>
      <w:bookmarkEnd w:id="705"/>
      <w:bookmarkEnd w:id="706"/>
      <w:bookmarkEnd w:id="707"/>
      <w:bookmarkEnd w:id="708"/>
      <w:bookmarkStart w:id="709" w:name="_Toc364341547"/>
      <w:bookmarkStart w:id="710" w:name="_Toc327565154"/>
      <w:bookmarkStart w:id="711" w:name="_Toc364341285"/>
      <w:bookmarkStart w:id="712" w:name="_Toc321472074"/>
      <w:bookmarkStart w:id="713" w:name="_Toc321472334"/>
      <w:bookmarkStart w:id="714" w:name="_Toc519168324"/>
      <w:bookmarkStart w:id="715" w:name="_Toc228589181"/>
      <w:bookmarkStart w:id="716" w:name="_Toc228591527"/>
      <w:bookmarkStart w:id="717" w:name="_Toc327599877"/>
      <w:bookmarkStart w:id="718" w:name="_Toc228591675"/>
      <w:bookmarkStart w:id="719" w:name="_Toc227492262"/>
      <w:bookmarkStart w:id="720" w:name="_Toc228881179"/>
      <w:bookmarkStart w:id="721" w:name="_Toc214433905"/>
      <w:bookmarkStart w:id="722" w:name="_Toc228337116"/>
      <w:bookmarkStart w:id="723" w:name="_Toc227657505"/>
      <w:bookmarkStart w:id="724" w:name="_Toc407442025"/>
    </w:p>
    <w:p>
      <w:pPr>
        <w:spacing w:before="120" w:after="120" w:line="360" w:lineRule="auto"/>
        <w:jc w:val="left"/>
        <w:rPr>
          <w:rFonts w:ascii="宋体" w:hAnsi="宋体"/>
          <w:bCs/>
          <w:color w:val="auto"/>
          <w:sz w:val="24"/>
        </w:rPr>
      </w:pPr>
      <w:r>
        <w:rPr>
          <w:rFonts w:hint="eastAsia" w:ascii="宋体" w:hAnsi="宋体"/>
          <w:color w:val="auto"/>
          <w:kern w:val="0"/>
          <w:szCs w:val="21"/>
        </w:rPr>
        <w:t>9.1 对招标人的纪律要求</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spacing w:before="120" w:after="120" w:line="360" w:lineRule="auto"/>
        <w:ind w:firstLine="210" w:firstLineChars="100"/>
        <w:jc w:val="left"/>
        <w:rPr>
          <w:rFonts w:ascii="宋体" w:hAnsi="宋体"/>
          <w:bCs/>
          <w:color w:val="auto"/>
          <w:sz w:val="24"/>
        </w:rPr>
      </w:pPr>
      <w:r>
        <w:rPr>
          <w:rFonts w:hint="eastAsia" w:ascii="宋体" w:hAnsi="宋体"/>
          <w:color w:val="auto"/>
          <w:kern w:val="0"/>
          <w:szCs w:val="21"/>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rPr>
          <w:rFonts w:ascii="宋体" w:hAnsi="宋体"/>
          <w:color w:val="auto"/>
          <w:kern w:val="0"/>
          <w:szCs w:val="21"/>
        </w:rPr>
      </w:pPr>
      <w:bookmarkStart w:id="725" w:name="_Toc364341548"/>
      <w:bookmarkStart w:id="726" w:name="_Toc321472335"/>
      <w:bookmarkStart w:id="727" w:name="_Toc364341286"/>
      <w:bookmarkStart w:id="728" w:name="_Toc321472075"/>
      <w:bookmarkStart w:id="729" w:name="_Toc228589182"/>
      <w:bookmarkStart w:id="730" w:name="_Toc227657506"/>
      <w:bookmarkStart w:id="731" w:name="_Toc519168325"/>
      <w:bookmarkStart w:id="732" w:name="_Toc228591676"/>
      <w:bookmarkStart w:id="733" w:name="_Toc227492263"/>
      <w:bookmarkStart w:id="734" w:name="_Toc407442026"/>
      <w:bookmarkStart w:id="735" w:name="_Toc228591528"/>
      <w:bookmarkStart w:id="736" w:name="_Toc327565155"/>
      <w:bookmarkStart w:id="737" w:name="_Toc214433906"/>
      <w:bookmarkStart w:id="738" w:name="_Toc228337117"/>
      <w:bookmarkStart w:id="739" w:name="_Toc327599878"/>
      <w:bookmarkStart w:id="740" w:name="_Toc228881180"/>
      <w:r>
        <w:rPr>
          <w:rFonts w:hint="eastAsia" w:ascii="宋体" w:hAnsi="宋体"/>
          <w:color w:val="auto"/>
          <w:kern w:val="0"/>
          <w:szCs w:val="21"/>
        </w:rPr>
        <w:t>9.2 对投标人的纪律要求</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20" w:lineRule="exact"/>
        <w:jc w:val="left"/>
        <w:rPr>
          <w:rFonts w:ascii="宋体" w:hAnsi="宋体"/>
          <w:color w:val="auto"/>
          <w:kern w:val="0"/>
          <w:szCs w:val="21"/>
        </w:rPr>
      </w:pPr>
      <w:bookmarkStart w:id="741" w:name="_Toc228591677"/>
      <w:bookmarkStart w:id="742" w:name="_Toc519168326"/>
      <w:bookmarkStart w:id="743" w:name="_Toc321472336"/>
      <w:bookmarkStart w:id="744" w:name="_Toc227657507"/>
      <w:bookmarkStart w:id="745" w:name="_Toc228589183"/>
      <w:bookmarkStart w:id="746" w:name="_Toc407442027"/>
      <w:bookmarkStart w:id="747" w:name="_Toc327599879"/>
      <w:bookmarkStart w:id="748" w:name="_Toc228591529"/>
      <w:bookmarkStart w:id="749" w:name="_Toc364341287"/>
      <w:bookmarkStart w:id="750" w:name="_Toc228881181"/>
      <w:bookmarkStart w:id="751" w:name="_Toc227492264"/>
      <w:bookmarkStart w:id="752" w:name="_Toc364341549"/>
      <w:bookmarkStart w:id="753" w:name="_Toc214433907"/>
      <w:bookmarkStart w:id="754" w:name="_Toc228337118"/>
      <w:bookmarkStart w:id="755" w:name="_Toc327565156"/>
      <w:bookmarkStart w:id="756" w:name="_Toc321472076"/>
      <w:r>
        <w:rPr>
          <w:rFonts w:hint="eastAsia" w:ascii="宋体" w:hAnsi="宋体"/>
          <w:color w:val="auto"/>
          <w:kern w:val="0"/>
          <w:szCs w:val="21"/>
        </w:rPr>
        <w:t>9.3 对评标委员会成员的纪律要求</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rPr>
          <w:rFonts w:ascii="宋体" w:hAnsi="宋体"/>
          <w:color w:val="auto"/>
          <w:kern w:val="0"/>
          <w:szCs w:val="21"/>
        </w:rPr>
      </w:pPr>
      <w:bookmarkStart w:id="757" w:name="_Toc327599880"/>
      <w:bookmarkStart w:id="758" w:name="_Toc228337119"/>
      <w:bookmarkStart w:id="759" w:name="_Toc327565157"/>
      <w:bookmarkStart w:id="760" w:name="_Toc228589184"/>
      <w:bookmarkStart w:id="761" w:name="_Toc364341288"/>
      <w:bookmarkStart w:id="762" w:name="_Toc214433908"/>
      <w:bookmarkStart w:id="763" w:name="_Toc321472337"/>
      <w:bookmarkStart w:id="764" w:name="_Toc227492265"/>
      <w:bookmarkStart w:id="765" w:name="_Toc227657508"/>
      <w:bookmarkStart w:id="766" w:name="_Toc228591678"/>
      <w:bookmarkStart w:id="767" w:name="_Toc519168327"/>
      <w:bookmarkStart w:id="768" w:name="_Toc321472077"/>
      <w:bookmarkStart w:id="769" w:name="_Toc364341550"/>
      <w:bookmarkStart w:id="770" w:name="_Toc407442028"/>
      <w:bookmarkStart w:id="771" w:name="_Toc228881182"/>
      <w:bookmarkStart w:id="772" w:name="_Toc228591530"/>
      <w:r>
        <w:rPr>
          <w:rFonts w:hint="eastAsia" w:ascii="宋体" w:hAnsi="宋体"/>
          <w:color w:val="auto"/>
          <w:kern w:val="0"/>
          <w:szCs w:val="21"/>
        </w:rPr>
        <w:t>9.4 对与评标活动有关的工作人员的纪律要求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rPr>
          <w:rFonts w:ascii="宋体" w:hAnsi="宋体"/>
          <w:color w:val="auto"/>
          <w:kern w:val="0"/>
          <w:szCs w:val="21"/>
        </w:rPr>
      </w:pPr>
      <w:bookmarkStart w:id="773" w:name="_Toc227657509"/>
      <w:bookmarkStart w:id="774" w:name="_Toc227492266"/>
      <w:bookmarkStart w:id="775" w:name="_Toc364341289"/>
      <w:bookmarkStart w:id="776" w:name="_Toc228591679"/>
      <w:bookmarkStart w:id="777" w:name="_Toc228591531"/>
      <w:bookmarkStart w:id="778" w:name="_Toc214433909"/>
      <w:bookmarkStart w:id="779" w:name="_Toc407442029"/>
      <w:bookmarkStart w:id="780" w:name="_Toc327565158"/>
      <w:bookmarkStart w:id="781" w:name="_Toc228337120"/>
      <w:bookmarkStart w:id="782" w:name="_Toc364341551"/>
      <w:bookmarkStart w:id="783" w:name="_Toc321472078"/>
      <w:bookmarkStart w:id="784" w:name="_Toc228881183"/>
      <w:bookmarkStart w:id="785" w:name="_Toc519168328"/>
      <w:bookmarkStart w:id="786" w:name="_Toc327599881"/>
      <w:bookmarkStart w:id="787" w:name="_Toc321472338"/>
      <w:bookmarkStart w:id="788" w:name="_Toc228589185"/>
      <w:r>
        <w:rPr>
          <w:rFonts w:hint="eastAsia" w:ascii="宋体" w:hAnsi="宋体"/>
          <w:color w:val="auto"/>
          <w:kern w:val="0"/>
          <w:szCs w:val="21"/>
        </w:rPr>
        <w:t>9.5 投诉</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autoSpaceDE w:val="0"/>
        <w:autoSpaceDN w:val="0"/>
        <w:adjustRightInd w:val="0"/>
        <w:spacing w:line="420" w:lineRule="exact"/>
        <w:ind w:firstLine="420" w:firstLineChars="200"/>
        <w:jc w:val="left"/>
        <w:rPr>
          <w:rFonts w:ascii="宋体" w:hAnsi="宋体"/>
          <w:color w:val="auto"/>
          <w:kern w:val="0"/>
          <w:szCs w:val="21"/>
        </w:rPr>
      </w:pPr>
      <w:r>
        <w:rPr>
          <w:rFonts w:hint="eastAsia" w:ascii="宋体" w:hAnsi="宋体"/>
          <w:color w:val="auto"/>
          <w:kern w:val="0"/>
          <w:szCs w:val="21"/>
        </w:rPr>
        <w:t>投标人和其他利害关系人认为本次招标活动违反法律、法规和规章规定的，有权向有关行政监督部门投诉。</w:t>
      </w:r>
    </w:p>
    <w:p>
      <w:pPr>
        <w:spacing w:before="120" w:after="120" w:line="360" w:lineRule="auto"/>
        <w:jc w:val="left"/>
        <w:rPr>
          <w:rFonts w:ascii="宋体" w:hAnsi="宋体"/>
          <w:bCs/>
          <w:color w:val="auto"/>
          <w:sz w:val="24"/>
        </w:rPr>
      </w:pPr>
      <w:bookmarkStart w:id="789" w:name="_Toc228589186"/>
      <w:bookmarkStart w:id="790" w:name="_Toc228337121"/>
      <w:bookmarkStart w:id="791" w:name="_Toc227492267"/>
      <w:bookmarkStart w:id="792" w:name="_Toc214433910"/>
      <w:bookmarkStart w:id="793" w:name="_Toc228591532"/>
      <w:bookmarkStart w:id="794" w:name="_Toc407442030"/>
      <w:bookmarkStart w:id="795" w:name="_Toc227657510"/>
      <w:bookmarkStart w:id="796" w:name="_Toc519168329"/>
      <w:bookmarkStart w:id="797" w:name="_Toc228881184"/>
      <w:bookmarkStart w:id="798" w:name="_Toc228591680"/>
      <w:bookmarkStart w:id="799" w:name="_Toc364341552"/>
      <w:bookmarkStart w:id="800" w:name="_Toc321472339"/>
      <w:r>
        <w:rPr>
          <w:rFonts w:hint="eastAsia" w:ascii="宋体" w:hAnsi="宋体"/>
          <w:bCs/>
          <w:color w:val="auto"/>
          <w:sz w:val="24"/>
        </w:rPr>
        <w:t>10. 需要补充的其他内容</w:t>
      </w:r>
      <w:bookmarkEnd w:id="789"/>
      <w:bookmarkEnd w:id="790"/>
      <w:bookmarkEnd w:id="791"/>
      <w:bookmarkEnd w:id="792"/>
      <w:bookmarkEnd w:id="793"/>
      <w:bookmarkEnd w:id="794"/>
      <w:bookmarkEnd w:id="795"/>
      <w:bookmarkEnd w:id="796"/>
      <w:bookmarkEnd w:id="797"/>
      <w:bookmarkEnd w:id="798"/>
      <w:bookmarkEnd w:id="799"/>
      <w:bookmarkEnd w:id="800"/>
    </w:p>
    <w:p>
      <w:pPr>
        <w:pStyle w:val="157"/>
        <w:spacing w:line="360" w:lineRule="auto"/>
        <w:ind w:firstLine="0" w:firstLineChars="0"/>
        <w:jc w:val="left"/>
        <w:rPr>
          <w:rFonts w:ascii="宋体" w:hAnsi="宋体"/>
          <w:color w:val="auto"/>
          <w:kern w:val="0"/>
          <w:szCs w:val="21"/>
        </w:rPr>
      </w:pPr>
      <w:r>
        <w:rPr>
          <w:rFonts w:hint="eastAsia" w:ascii="宋体" w:hAnsi="宋体"/>
          <w:color w:val="auto"/>
          <w:kern w:val="0"/>
          <w:szCs w:val="21"/>
        </w:rPr>
        <w:t>10.1根据国家中华人民共和国环境保护法和中华人民共和国大气污染防治法等法律法规的规定，本项目要求投标人在投标时对防尘作出相关的方案与措施，否则按无效标处理。</w:t>
      </w:r>
    </w:p>
    <w:p>
      <w:pPr>
        <w:spacing w:line="360" w:lineRule="auto"/>
        <w:jc w:val="left"/>
        <w:rPr>
          <w:rFonts w:ascii="宋体" w:hAnsi="宋体"/>
          <w:color w:val="auto"/>
          <w:kern w:val="0"/>
          <w:szCs w:val="21"/>
        </w:rPr>
      </w:pPr>
      <w:r>
        <w:rPr>
          <w:rFonts w:hint="eastAsia" w:ascii="宋体" w:hAnsi="宋体"/>
          <w:color w:val="auto"/>
          <w:kern w:val="0"/>
          <w:szCs w:val="21"/>
        </w:rPr>
        <w:t>10.2双方约定的其它因素。需要补充的其他内容：见投标人须知前附表。</w:t>
      </w:r>
    </w:p>
    <w:p>
      <w:pPr>
        <w:spacing w:before="120" w:after="120" w:line="360" w:lineRule="auto"/>
        <w:jc w:val="left"/>
        <w:rPr>
          <w:rFonts w:ascii="宋体" w:hAnsi="宋体"/>
          <w:bCs/>
          <w:color w:val="auto"/>
          <w:sz w:val="24"/>
        </w:rPr>
      </w:pPr>
      <w:bookmarkStart w:id="801" w:name="_Toc364341553"/>
      <w:bookmarkStart w:id="802" w:name="_Toc519168330"/>
      <w:bookmarkStart w:id="803" w:name="_Toc407442031"/>
      <w:bookmarkStart w:id="804" w:name="_Toc227492268"/>
      <w:bookmarkStart w:id="805" w:name="_Toc228591533"/>
      <w:bookmarkStart w:id="806" w:name="_Toc228881185"/>
      <w:bookmarkStart w:id="807" w:name="_Toc228589187"/>
      <w:bookmarkStart w:id="808" w:name="_Toc214433911"/>
      <w:bookmarkStart w:id="809" w:name="_Toc228591681"/>
      <w:bookmarkStart w:id="810" w:name="_Toc321472340"/>
      <w:bookmarkStart w:id="811" w:name="_Toc227657511"/>
      <w:bookmarkStart w:id="812" w:name="_Toc228337122"/>
      <w:r>
        <w:rPr>
          <w:rFonts w:hint="eastAsia" w:ascii="宋体" w:hAnsi="宋体"/>
          <w:bCs/>
          <w:color w:val="auto"/>
          <w:sz w:val="24"/>
        </w:rPr>
        <w:t>11．解释权归属</w:t>
      </w:r>
      <w:bookmarkEnd w:id="801"/>
      <w:bookmarkEnd w:id="802"/>
      <w:bookmarkEnd w:id="803"/>
    </w:p>
    <w:p>
      <w:pPr>
        <w:rPr>
          <w:color w:val="auto"/>
        </w:rPr>
      </w:pPr>
      <w:r>
        <w:rPr>
          <w:rFonts w:hint="eastAsia"/>
          <w:color w:val="auto"/>
        </w:rPr>
        <w:t>11.1</w:t>
      </w:r>
      <w:r>
        <w:rPr>
          <w:rFonts w:hint="eastAsia" w:hAnsi="宋体"/>
          <w:color w:val="auto"/>
          <w:szCs w:val="21"/>
        </w:rPr>
        <w:t>本招标文件的最终解释权归招标人所有。</w:t>
      </w:r>
    </w:p>
    <w:bookmarkEnd w:id="804"/>
    <w:bookmarkEnd w:id="805"/>
    <w:bookmarkEnd w:id="806"/>
    <w:bookmarkEnd w:id="807"/>
    <w:bookmarkEnd w:id="808"/>
    <w:bookmarkEnd w:id="809"/>
    <w:bookmarkEnd w:id="810"/>
    <w:bookmarkEnd w:id="811"/>
    <w:bookmarkEnd w:id="812"/>
    <w:p>
      <w:pPr>
        <w:pStyle w:val="133"/>
        <w:spacing w:line="420" w:lineRule="exact"/>
        <w:rPr>
          <w:rFonts w:hAnsi="宋体"/>
          <w:color w:val="auto"/>
          <w:sz w:val="21"/>
          <w:szCs w:val="21"/>
        </w:rPr>
        <w:sectPr>
          <w:pgSz w:w="11906" w:h="16838"/>
          <w:pgMar w:top="1134" w:right="1417" w:bottom="1134" w:left="1417" w:header="851" w:footer="992" w:gutter="0"/>
          <w:cols w:space="720" w:num="1"/>
          <w:titlePg/>
          <w:docGrid w:linePitch="312" w:charSpace="0"/>
        </w:sectPr>
      </w:pPr>
      <w:bookmarkStart w:id="813" w:name="_Toc355421860"/>
    </w:p>
    <w:p>
      <w:pPr>
        <w:jc w:val="left"/>
        <w:rPr>
          <w:color w:val="auto"/>
        </w:rPr>
      </w:pPr>
    </w:p>
    <w:p>
      <w:pPr>
        <w:pStyle w:val="9"/>
        <w:jc w:val="left"/>
        <w:rPr>
          <w:color w:val="auto"/>
          <w:sz w:val="24"/>
          <w:szCs w:val="24"/>
        </w:rPr>
      </w:pPr>
      <w:r>
        <w:rPr>
          <w:rFonts w:hint="eastAsia"/>
          <w:color w:val="auto"/>
          <w:sz w:val="24"/>
          <w:szCs w:val="24"/>
        </w:rPr>
        <w:t>附表一：问题澄清通知</w:t>
      </w:r>
      <w:bookmarkEnd w:id="813"/>
    </w:p>
    <w:p>
      <w:pPr>
        <w:spacing w:line="360" w:lineRule="auto"/>
        <w:ind w:firstLine="2901" w:firstLineChars="1376"/>
        <w:jc w:val="left"/>
        <w:rPr>
          <w:rFonts w:ascii="宋体" w:hAnsi="宋体"/>
          <w:b/>
          <w:color w:val="auto"/>
          <w:szCs w:val="21"/>
        </w:rPr>
      </w:pPr>
    </w:p>
    <w:p>
      <w:pPr>
        <w:spacing w:line="360" w:lineRule="auto"/>
        <w:ind w:firstLine="3315" w:firstLineChars="1376"/>
        <w:jc w:val="left"/>
        <w:rPr>
          <w:rFonts w:ascii="宋体" w:hAnsi="宋体"/>
          <w:b/>
          <w:color w:val="auto"/>
          <w:sz w:val="24"/>
          <w:szCs w:val="24"/>
        </w:rPr>
      </w:pPr>
    </w:p>
    <w:p>
      <w:pPr>
        <w:spacing w:line="360" w:lineRule="auto"/>
        <w:ind w:firstLine="3315" w:firstLineChars="1376"/>
        <w:jc w:val="left"/>
        <w:rPr>
          <w:rFonts w:ascii="宋体" w:hAnsi="宋体"/>
          <w:b/>
          <w:color w:val="auto"/>
          <w:sz w:val="24"/>
          <w:szCs w:val="24"/>
        </w:rPr>
      </w:pPr>
      <w:r>
        <w:rPr>
          <w:rFonts w:hint="eastAsia" w:ascii="宋体" w:hAnsi="宋体"/>
          <w:b/>
          <w:color w:val="auto"/>
          <w:sz w:val="24"/>
          <w:szCs w:val="24"/>
        </w:rPr>
        <w:t>问题澄清通知</w:t>
      </w:r>
    </w:p>
    <w:p>
      <w:pPr>
        <w:spacing w:line="360" w:lineRule="auto"/>
        <w:jc w:val="left"/>
        <w:rPr>
          <w:rFonts w:ascii="宋体" w:hAnsi="宋体"/>
          <w:b/>
          <w:color w:val="auto"/>
          <w:szCs w:val="21"/>
        </w:rPr>
      </w:pPr>
      <w:r>
        <w:rPr>
          <w:rFonts w:hint="eastAsia" w:ascii="宋体" w:hAnsi="宋体"/>
          <w:color w:val="auto"/>
          <w:szCs w:val="21"/>
        </w:rPr>
        <w:t>编号：</w:t>
      </w:r>
    </w:p>
    <w:p>
      <w:pPr>
        <w:spacing w:line="360" w:lineRule="auto"/>
        <w:jc w:val="left"/>
        <w:rPr>
          <w:rFonts w:ascii="宋体" w:hAnsi="宋体"/>
          <w:b/>
          <w:color w:val="auto"/>
          <w:szCs w:val="21"/>
        </w:rPr>
      </w:pPr>
      <w:r>
        <w:rPr>
          <w:rFonts w:hint="eastAsia" w:ascii="宋体" w:hAnsi="宋体"/>
          <w:color w:val="auto"/>
          <w:szCs w:val="21"/>
        </w:rPr>
        <w:t>（投标人名称）:</w:t>
      </w:r>
    </w:p>
    <w:p>
      <w:pPr>
        <w:spacing w:line="360" w:lineRule="auto"/>
        <w:ind w:firstLine="420" w:firstLineChars="200"/>
        <w:jc w:val="left"/>
        <w:rPr>
          <w:rFonts w:ascii="宋体" w:hAnsi="宋体"/>
          <w:color w:val="auto"/>
          <w:szCs w:val="21"/>
        </w:rPr>
      </w:pPr>
      <w:r>
        <w:rPr>
          <w:rFonts w:hint="eastAsia" w:ascii="宋体" w:hAnsi="宋体"/>
          <w:color w:val="auto"/>
          <w:szCs w:val="21"/>
        </w:rPr>
        <w:t>（项目名称）招标评标委员会，对你方的投标文件进行了仔细的审查，现需你方对下列问题以书面形式予以澄清：</w:t>
      </w:r>
    </w:p>
    <w:p>
      <w:pPr>
        <w:spacing w:line="360" w:lineRule="auto"/>
        <w:ind w:firstLine="420" w:firstLineChars="200"/>
        <w:jc w:val="left"/>
        <w:rPr>
          <w:rFonts w:ascii="宋体" w:hAnsi="宋体"/>
          <w:color w:val="auto"/>
          <w:szCs w:val="21"/>
        </w:rPr>
      </w:pPr>
      <w:r>
        <w:rPr>
          <w:rFonts w:hint="eastAsia" w:ascii="宋体" w:hAnsi="宋体"/>
          <w:color w:val="auto"/>
          <w:szCs w:val="21"/>
        </w:rPr>
        <w:t>1、</w:t>
      </w:r>
    </w:p>
    <w:p>
      <w:pPr>
        <w:spacing w:line="360" w:lineRule="auto"/>
        <w:ind w:firstLine="420" w:firstLineChars="200"/>
        <w:jc w:val="left"/>
        <w:rPr>
          <w:rFonts w:ascii="宋体" w:hAnsi="宋体"/>
          <w:color w:val="auto"/>
          <w:szCs w:val="21"/>
        </w:rPr>
      </w:pPr>
      <w:r>
        <w:rPr>
          <w:rFonts w:hint="eastAsia" w:ascii="宋体" w:hAnsi="宋体"/>
          <w:color w:val="auto"/>
          <w:szCs w:val="21"/>
        </w:rPr>
        <w:t>2、</w:t>
      </w:r>
    </w:p>
    <w:p>
      <w:pPr>
        <w:spacing w:line="360" w:lineRule="auto"/>
        <w:ind w:firstLine="420" w:firstLineChars="200"/>
        <w:jc w:val="left"/>
        <w:rPr>
          <w:rFonts w:ascii="宋体" w:hAnsi="宋体"/>
          <w:color w:val="auto"/>
          <w:szCs w:val="21"/>
        </w:rPr>
      </w:pPr>
      <w:r>
        <w:rPr>
          <w:rFonts w:hint="eastAsia" w:ascii="宋体" w:hAnsi="宋体"/>
          <w:color w:val="auto"/>
          <w:szCs w:val="21"/>
        </w:rPr>
        <w:t>……</w:t>
      </w:r>
    </w:p>
    <w:p>
      <w:pPr>
        <w:spacing w:line="360" w:lineRule="auto"/>
        <w:ind w:firstLine="420" w:firstLineChars="200"/>
        <w:jc w:val="left"/>
        <w:rPr>
          <w:rFonts w:ascii="宋体" w:hAnsi="宋体"/>
          <w:color w:val="auto"/>
          <w:szCs w:val="21"/>
        </w:rPr>
      </w:pPr>
      <w:r>
        <w:rPr>
          <w:rFonts w:hint="eastAsia" w:ascii="宋体" w:hAnsi="宋体"/>
          <w:color w:val="auto"/>
          <w:szCs w:val="21"/>
        </w:rPr>
        <w:t>请将上述问题的澄清于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时前递交至</w:t>
      </w:r>
      <w:r>
        <w:rPr>
          <w:rFonts w:hint="eastAsia" w:ascii="宋体" w:hAnsi="宋体"/>
          <w:color w:val="auto"/>
          <w:szCs w:val="21"/>
          <w:u w:val="single"/>
        </w:rPr>
        <w:t xml:space="preserve">                        </w:t>
      </w:r>
      <w:r>
        <w:rPr>
          <w:rFonts w:hint="eastAsia" w:ascii="宋体" w:hAnsi="宋体"/>
          <w:color w:val="auto"/>
          <w:szCs w:val="21"/>
        </w:rPr>
        <w:t>（详细地址）或传真至</w:t>
      </w:r>
      <w:r>
        <w:rPr>
          <w:rFonts w:hint="eastAsia" w:ascii="宋体" w:hAnsi="宋体"/>
          <w:color w:val="auto"/>
          <w:szCs w:val="21"/>
          <w:u w:val="single"/>
        </w:rPr>
        <w:t xml:space="preserve">                    </w:t>
      </w:r>
      <w:r>
        <w:rPr>
          <w:rFonts w:hint="eastAsia" w:ascii="宋体" w:hAnsi="宋体"/>
          <w:color w:val="auto"/>
          <w:szCs w:val="21"/>
        </w:rPr>
        <w:t>（传真号码）。采用传真方式的，应在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时前将原件递交至</w:t>
      </w:r>
      <w:r>
        <w:rPr>
          <w:rFonts w:hint="eastAsia" w:ascii="宋体" w:hAnsi="宋体"/>
          <w:color w:val="auto"/>
          <w:szCs w:val="21"/>
          <w:u w:val="single"/>
        </w:rPr>
        <w:t xml:space="preserve">                          </w:t>
      </w:r>
      <w:r>
        <w:rPr>
          <w:rFonts w:hint="eastAsia" w:ascii="宋体" w:hAnsi="宋体"/>
          <w:color w:val="auto"/>
          <w:szCs w:val="21"/>
        </w:rPr>
        <w:t>（详细地址）。</w:t>
      </w:r>
    </w:p>
    <w:p>
      <w:pPr>
        <w:spacing w:line="360" w:lineRule="auto"/>
        <w:ind w:firstLine="5145" w:firstLineChars="2450"/>
        <w:jc w:val="left"/>
        <w:rPr>
          <w:rFonts w:ascii="宋体" w:hAnsi="宋体"/>
          <w:color w:val="auto"/>
          <w:szCs w:val="21"/>
        </w:rPr>
      </w:pPr>
    </w:p>
    <w:p>
      <w:pPr>
        <w:spacing w:line="360" w:lineRule="auto"/>
        <w:ind w:firstLine="5145" w:firstLineChars="2450"/>
        <w:jc w:val="left"/>
        <w:rPr>
          <w:rFonts w:ascii="宋体" w:hAnsi="宋体"/>
          <w:color w:val="auto"/>
          <w:szCs w:val="21"/>
        </w:rPr>
      </w:pPr>
    </w:p>
    <w:p>
      <w:pPr>
        <w:spacing w:line="360" w:lineRule="auto"/>
        <w:ind w:firstLine="4620" w:firstLineChars="2200"/>
        <w:jc w:val="right"/>
        <w:rPr>
          <w:rFonts w:ascii="宋体" w:hAnsi="宋体"/>
          <w:color w:val="auto"/>
          <w:szCs w:val="21"/>
        </w:rPr>
      </w:pPr>
      <w:r>
        <w:rPr>
          <w:rFonts w:hint="eastAsia" w:ascii="宋体" w:hAnsi="宋体"/>
          <w:color w:val="auto"/>
          <w:szCs w:val="21"/>
        </w:rPr>
        <w:t>评标委员会主任：</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jc w:val="right"/>
        <w:rPr>
          <w:rFonts w:ascii="宋体" w:hAnsi="宋体"/>
          <w:color w:val="auto"/>
          <w:szCs w:val="21"/>
          <w:u w:val="single"/>
        </w:rPr>
      </w:pPr>
    </w:p>
    <w:p>
      <w:pPr>
        <w:spacing w:line="360" w:lineRule="auto"/>
        <w:ind w:firstLine="5460" w:firstLineChars="26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5460" w:firstLineChars="2600"/>
        <w:jc w:val="left"/>
        <w:rPr>
          <w:rFonts w:ascii="宋体" w:hAnsi="宋体"/>
          <w:color w:val="auto"/>
          <w:szCs w:val="21"/>
        </w:rPr>
        <w:sectPr>
          <w:pgSz w:w="11906" w:h="16838"/>
          <w:pgMar w:top="1134" w:right="1417" w:bottom="1134" w:left="1417" w:header="851" w:footer="992" w:gutter="0"/>
          <w:cols w:space="720" w:num="1"/>
          <w:titlePg/>
          <w:docGrid w:linePitch="312" w:charSpace="0"/>
        </w:sectPr>
      </w:pPr>
    </w:p>
    <w:p>
      <w:pPr>
        <w:pStyle w:val="9"/>
        <w:jc w:val="left"/>
        <w:rPr>
          <w:color w:val="auto"/>
          <w:sz w:val="24"/>
          <w:szCs w:val="24"/>
        </w:rPr>
      </w:pPr>
      <w:bookmarkStart w:id="814" w:name="_Toc355421861"/>
      <w:r>
        <w:rPr>
          <w:rFonts w:hint="eastAsia"/>
          <w:color w:val="auto"/>
          <w:sz w:val="24"/>
          <w:szCs w:val="24"/>
        </w:rPr>
        <w:t>附表二：问题澄清通知的回函</w:t>
      </w:r>
      <w:bookmarkEnd w:id="814"/>
    </w:p>
    <w:p>
      <w:pPr>
        <w:spacing w:line="360" w:lineRule="auto"/>
        <w:ind w:firstLine="422" w:firstLineChars="200"/>
        <w:jc w:val="left"/>
        <w:rPr>
          <w:rFonts w:ascii="宋体" w:hAnsi="宋体"/>
          <w:b/>
          <w:color w:val="auto"/>
          <w:szCs w:val="21"/>
        </w:rPr>
      </w:pPr>
    </w:p>
    <w:p>
      <w:pPr>
        <w:spacing w:line="360" w:lineRule="auto"/>
        <w:ind w:firstLine="2715" w:firstLineChars="1127"/>
        <w:jc w:val="left"/>
        <w:rPr>
          <w:rFonts w:ascii="宋体" w:hAnsi="宋体"/>
          <w:b/>
          <w:color w:val="auto"/>
          <w:sz w:val="24"/>
          <w:szCs w:val="24"/>
        </w:rPr>
      </w:pPr>
    </w:p>
    <w:p>
      <w:pPr>
        <w:spacing w:line="360" w:lineRule="auto"/>
        <w:ind w:firstLine="2715" w:firstLineChars="1127"/>
        <w:jc w:val="left"/>
        <w:rPr>
          <w:rFonts w:ascii="宋体" w:hAnsi="宋体"/>
          <w:b/>
          <w:color w:val="auto"/>
          <w:sz w:val="24"/>
          <w:szCs w:val="24"/>
        </w:rPr>
      </w:pPr>
      <w:r>
        <w:rPr>
          <w:rFonts w:hint="eastAsia" w:ascii="宋体" w:hAnsi="宋体"/>
          <w:b/>
          <w:color w:val="auto"/>
          <w:sz w:val="24"/>
          <w:szCs w:val="24"/>
        </w:rPr>
        <w:t>问题澄清通知的回函</w:t>
      </w:r>
    </w:p>
    <w:p>
      <w:pPr>
        <w:spacing w:line="360" w:lineRule="auto"/>
        <w:ind w:firstLine="6930" w:firstLineChars="3300"/>
        <w:jc w:val="left"/>
        <w:rPr>
          <w:rFonts w:ascii="宋体" w:hAnsi="宋体"/>
          <w:color w:val="auto"/>
          <w:szCs w:val="21"/>
        </w:rPr>
      </w:pPr>
      <w:r>
        <w:rPr>
          <w:rFonts w:hint="eastAsia" w:ascii="宋体" w:hAnsi="宋体"/>
          <w:color w:val="auto"/>
          <w:szCs w:val="21"/>
        </w:rPr>
        <w:t>编号：</w:t>
      </w:r>
    </w:p>
    <w:p>
      <w:pPr>
        <w:spacing w:line="360" w:lineRule="auto"/>
        <w:ind w:firstLine="420" w:firstLineChars="200"/>
        <w:jc w:val="left"/>
        <w:rPr>
          <w:rFonts w:ascii="宋体" w:hAnsi="宋体"/>
          <w:color w:val="auto"/>
          <w:szCs w:val="21"/>
          <w:u w:val="single"/>
        </w:rPr>
      </w:pPr>
    </w:p>
    <w:p>
      <w:pPr>
        <w:spacing w:line="360" w:lineRule="auto"/>
        <w:ind w:firstLine="420" w:firstLineChars="200"/>
        <w:jc w:val="left"/>
        <w:rPr>
          <w:rFonts w:ascii="宋体" w:hAnsi="宋体"/>
          <w:color w:val="auto"/>
          <w:szCs w:val="21"/>
        </w:rPr>
      </w:pPr>
      <w:r>
        <w:rPr>
          <w:rFonts w:hint="eastAsia" w:ascii="宋体" w:hAnsi="宋体"/>
          <w:color w:val="auto"/>
          <w:szCs w:val="21"/>
        </w:rPr>
        <w:t>(项目名称）招标评标委员会：</w:t>
      </w:r>
    </w:p>
    <w:p>
      <w:pPr>
        <w:spacing w:line="360" w:lineRule="auto"/>
        <w:ind w:firstLine="945" w:firstLineChars="450"/>
        <w:jc w:val="left"/>
        <w:rPr>
          <w:rFonts w:ascii="宋体" w:hAnsi="宋体"/>
          <w:color w:val="auto"/>
          <w:szCs w:val="21"/>
        </w:rPr>
      </w:pPr>
      <w:r>
        <w:rPr>
          <w:rFonts w:hint="eastAsia" w:ascii="宋体" w:hAnsi="宋体"/>
          <w:color w:val="auto"/>
          <w:szCs w:val="21"/>
        </w:rPr>
        <w:t>问题澄清通知（编号：</w:t>
      </w:r>
      <w:r>
        <w:rPr>
          <w:rFonts w:hint="eastAsia" w:ascii="宋体" w:hAnsi="宋体"/>
          <w:color w:val="auto"/>
          <w:szCs w:val="21"/>
          <w:u w:val="single"/>
        </w:rPr>
        <w:t xml:space="preserve">                 </w:t>
      </w:r>
      <w:r>
        <w:rPr>
          <w:rFonts w:ascii="宋体" w:hAnsi="宋体"/>
          <w:color w:val="auto"/>
          <w:szCs w:val="21"/>
        </w:rPr>
        <w:t>）</w:t>
      </w:r>
      <w:r>
        <w:rPr>
          <w:rFonts w:hint="eastAsia" w:ascii="宋体" w:hAnsi="宋体"/>
          <w:color w:val="auto"/>
          <w:szCs w:val="21"/>
        </w:rPr>
        <w:t>已收悉，现澄清如下：</w:t>
      </w:r>
    </w:p>
    <w:p>
      <w:pPr>
        <w:spacing w:line="360" w:lineRule="auto"/>
        <w:ind w:firstLine="420" w:firstLineChars="200"/>
        <w:jc w:val="left"/>
        <w:rPr>
          <w:rFonts w:ascii="宋体" w:hAnsi="宋体"/>
          <w:color w:val="auto"/>
          <w:szCs w:val="21"/>
        </w:rPr>
      </w:pPr>
      <w:r>
        <w:rPr>
          <w:rFonts w:hint="eastAsia" w:ascii="宋体" w:hAnsi="宋体"/>
          <w:color w:val="auto"/>
          <w:szCs w:val="21"/>
        </w:rPr>
        <w:t>1、</w:t>
      </w:r>
    </w:p>
    <w:p>
      <w:pPr>
        <w:spacing w:line="360" w:lineRule="auto"/>
        <w:ind w:firstLine="420" w:firstLineChars="200"/>
        <w:jc w:val="left"/>
        <w:rPr>
          <w:rFonts w:ascii="宋体" w:hAnsi="宋体"/>
          <w:color w:val="auto"/>
          <w:szCs w:val="21"/>
        </w:rPr>
      </w:pPr>
      <w:r>
        <w:rPr>
          <w:rFonts w:hint="eastAsia" w:ascii="宋体" w:hAnsi="宋体"/>
          <w:color w:val="auto"/>
          <w:szCs w:val="21"/>
        </w:rPr>
        <w:t>2、</w:t>
      </w:r>
    </w:p>
    <w:p>
      <w:pPr>
        <w:spacing w:line="360" w:lineRule="auto"/>
        <w:ind w:firstLine="420" w:firstLineChars="200"/>
        <w:jc w:val="left"/>
        <w:rPr>
          <w:rFonts w:ascii="宋体" w:hAnsi="宋体"/>
          <w:color w:val="auto"/>
          <w:szCs w:val="21"/>
        </w:rPr>
      </w:pPr>
      <w:r>
        <w:rPr>
          <w:rFonts w:hint="eastAsia" w:ascii="宋体" w:hAnsi="宋体"/>
          <w:color w:val="auto"/>
          <w:szCs w:val="21"/>
        </w:rPr>
        <w:t>……</w:t>
      </w: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p>
    <w:p>
      <w:pPr>
        <w:spacing w:line="360" w:lineRule="auto"/>
        <w:ind w:firstLine="3675" w:firstLineChars="1750"/>
        <w:jc w:val="right"/>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ind w:firstLine="5145" w:firstLineChars="2450"/>
        <w:jc w:val="left"/>
        <w:rPr>
          <w:rFonts w:ascii="宋体" w:hAnsi="宋体"/>
          <w:color w:val="auto"/>
          <w:szCs w:val="21"/>
          <w:u w:val="single"/>
        </w:rPr>
      </w:pPr>
    </w:p>
    <w:p>
      <w:pPr>
        <w:spacing w:line="360" w:lineRule="auto"/>
        <w:ind w:firstLine="5145" w:firstLineChars="245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5145" w:firstLineChars="2450"/>
        <w:jc w:val="left"/>
        <w:rPr>
          <w:rFonts w:ascii="宋体" w:hAnsi="宋体"/>
          <w:color w:val="auto"/>
          <w:szCs w:val="21"/>
        </w:rPr>
      </w:pPr>
    </w:p>
    <w:p>
      <w:pPr>
        <w:spacing w:line="360" w:lineRule="auto"/>
        <w:ind w:firstLine="5145" w:firstLineChars="2450"/>
        <w:jc w:val="left"/>
        <w:rPr>
          <w:rFonts w:ascii="宋体" w:hAnsi="宋体"/>
          <w:color w:val="auto"/>
          <w:szCs w:val="21"/>
        </w:rPr>
      </w:pPr>
    </w:p>
    <w:p>
      <w:pPr>
        <w:spacing w:line="360" w:lineRule="auto"/>
        <w:ind w:firstLine="5145" w:firstLineChars="2450"/>
        <w:jc w:val="left"/>
        <w:rPr>
          <w:rFonts w:ascii="宋体" w:hAnsi="宋体"/>
          <w:color w:val="auto"/>
          <w:szCs w:val="21"/>
        </w:rPr>
      </w:pPr>
    </w:p>
    <w:p>
      <w:pPr>
        <w:spacing w:line="360" w:lineRule="auto"/>
        <w:ind w:firstLine="5145" w:firstLineChars="2450"/>
        <w:jc w:val="left"/>
        <w:rPr>
          <w:rFonts w:ascii="宋体" w:hAnsi="宋体"/>
          <w:color w:val="auto"/>
          <w:szCs w:val="21"/>
        </w:rPr>
      </w:pPr>
    </w:p>
    <w:p>
      <w:pPr>
        <w:spacing w:line="360" w:lineRule="auto"/>
        <w:ind w:firstLine="5145" w:firstLineChars="2450"/>
        <w:jc w:val="left"/>
        <w:rPr>
          <w:rFonts w:ascii="宋体" w:hAnsi="宋体"/>
          <w:color w:val="auto"/>
          <w:szCs w:val="21"/>
        </w:rPr>
      </w:pPr>
    </w:p>
    <w:p>
      <w:pPr>
        <w:spacing w:line="360" w:lineRule="auto"/>
        <w:ind w:firstLine="5145" w:firstLineChars="2450"/>
        <w:jc w:val="left"/>
        <w:rPr>
          <w:rFonts w:ascii="宋体" w:hAnsi="宋体"/>
          <w:color w:val="auto"/>
          <w:szCs w:val="21"/>
        </w:rPr>
      </w:pPr>
    </w:p>
    <w:p>
      <w:pPr>
        <w:spacing w:line="360" w:lineRule="auto"/>
        <w:ind w:firstLine="5145" w:firstLineChars="2450"/>
        <w:jc w:val="left"/>
        <w:rPr>
          <w:rFonts w:ascii="宋体" w:hAnsi="宋体"/>
          <w:color w:val="auto"/>
          <w:szCs w:val="21"/>
        </w:rPr>
      </w:pPr>
    </w:p>
    <w:p>
      <w:pPr>
        <w:spacing w:line="360" w:lineRule="auto"/>
        <w:ind w:firstLine="5145" w:firstLineChars="2450"/>
        <w:jc w:val="left"/>
        <w:rPr>
          <w:rFonts w:ascii="宋体" w:hAnsi="宋体"/>
          <w:color w:val="auto"/>
          <w:szCs w:val="21"/>
        </w:rPr>
      </w:pPr>
    </w:p>
    <w:p>
      <w:pPr>
        <w:autoSpaceDE w:val="0"/>
        <w:autoSpaceDN w:val="0"/>
        <w:adjustRightInd w:val="0"/>
        <w:spacing w:line="420" w:lineRule="exact"/>
        <w:ind w:firstLine="4016" w:firstLineChars="1250"/>
        <w:jc w:val="left"/>
        <w:outlineLvl w:val="0"/>
        <w:rPr>
          <w:rFonts w:ascii="宋体" w:hAnsi="宋体"/>
          <w:b/>
          <w:color w:val="auto"/>
          <w:kern w:val="0"/>
          <w:sz w:val="32"/>
          <w:szCs w:val="32"/>
        </w:rPr>
        <w:sectPr>
          <w:pgSz w:w="11906" w:h="16838"/>
          <w:pgMar w:top="1134" w:right="1417" w:bottom="1134" w:left="1417" w:header="851" w:footer="992" w:gutter="0"/>
          <w:cols w:space="720" w:num="1"/>
          <w:titlePg/>
          <w:docGrid w:linePitch="312" w:charSpace="0"/>
        </w:sectPr>
      </w:pPr>
    </w:p>
    <w:p>
      <w:pPr>
        <w:pStyle w:val="9"/>
        <w:rPr>
          <w:rFonts w:hint="eastAsia"/>
          <w:color w:val="auto"/>
        </w:rPr>
      </w:pPr>
      <w:bookmarkStart w:id="815" w:name="_Toc17689"/>
      <w:bookmarkStart w:id="816" w:name="_Toc7580"/>
      <w:bookmarkStart w:id="817" w:name="_Toc10619"/>
      <w:bookmarkStart w:id="818" w:name="_Toc388035600"/>
      <w:bookmarkStart w:id="819" w:name="_Toc16810762"/>
      <w:r>
        <w:rPr>
          <w:rFonts w:hint="eastAsia"/>
          <w:color w:val="auto"/>
        </w:rPr>
        <w:t>附表三：异议和投诉</w:t>
      </w:r>
      <w:bookmarkEnd w:id="815"/>
      <w:bookmarkEnd w:id="816"/>
      <w:bookmarkEnd w:id="817"/>
    </w:p>
    <w:p>
      <w:pPr>
        <w:pStyle w:val="157"/>
        <w:numPr>
          <w:ilvl w:val="0"/>
          <w:numId w:val="0"/>
        </w:numPr>
        <w:autoSpaceDE w:val="0"/>
        <w:autoSpaceDN w:val="0"/>
        <w:adjustRightInd w:val="0"/>
        <w:spacing w:line="360" w:lineRule="auto"/>
        <w:ind w:left="420" w:leftChars="0"/>
        <w:outlineLvl w:val="1"/>
        <w:rPr>
          <w:rFonts w:hint="eastAsia" w:ascii="宋体" w:hAnsi="宋体" w:cs="宋体"/>
          <w:color w:val="auto"/>
          <w:szCs w:val="21"/>
        </w:rPr>
      </w:pPr>
      <w:bookmarkStart w:id="820" w:name="_Toc15843"/>
      <w:bookmarkStart w:id="821" w:name="_Toc10440"/>
      <w:r>
        <w:rPr>
          <w:rFonts w:hint="eastAsia" w:ascii="宋体" w:hAnsi="宋体" w:cs="宋体"/>
          <w:color w:val="auto"/>
          <w:szCs w:val="21"/>
          <w:lang w:val="en-US" w:eastAsia="zh-CN"/>
        </w:rPr>
        <w:t>1、</w:t>
      </w:r>
      <w:r>
        <w:rPr>
          <w:rFonts w:hint="eastAsia" w:ascii="宋体" w:hAnsi="宋体" w:cs="宋体"/>
          <w:color w:val="auto"/>
          <w:szCs w:val="21"/>
        </w:rPr>
        <w:t>招标人受理异议的股室：</w:t>
      </w:r>
      <w:bookmarkEnd w:id="820"/>
      <w:bookmarkEnd w:id="821"/>
      <w:r>
        <w:rPr>
          <w:rFonts w:hint="eastAsia" w:ascii="宋体" w:hAnsi="宋体" w:cs="宋体"/>
          <w:color w:val="auto"/>
          <w:szCs w:val="21"/>
          <w:lang w:eastAsia="zh-CN"/>
        </w:rPr>
        <w:t>杞县农业农村局</w:t>
      </w:r>
    </w:p>
    <w:p>
      <w:pPr>
        <w:pStyle w:val="157"/>
        <w:autoSpaceDE w:val="0"/>
        <w:autoSpaceDN w:val="0"/>
        <w:adjustRightInd w:val="0"/>
        <w:spacing w:line="360" w:lineRule="auto"/>
        <w:outlineLvl w:val="1"/>
        <w:rPr>
          <w:rFonts w:hint="eastAsia" w:ascii="宋体" w:hAnsi="宋体" w:cs="宋体"/>
          <w:color w:val="auto"/>
          <w:szCs w:val="21"/>
        </w:rPr>
      </w:pPr>
      <w:bookmarkStart w:id="822" w:name="_Toc20038"/>
      <w:bookmarkStart w:id="823" w:name="_Toc4868"/>
      <w:r>
        <w:rPr>
          <w:rFonts w:hint="eastAsia" w:ascii="宋体" w:hAnsi="宋体" w:cs="宋体"/>
          <w:color w:val="auto"/>
          <w:szCs w:val="21"/>
        </w:rPr>
        <w:t>联系电话</w:t>
      </w:r>
      <w:bookmarkEnd w:id="822"/>
      <w:bookmarkEnd w:id="823"/>
      <w:r>
        <w:rPr>
          <w:rFonts w:hint="eastAsia" w:ascii="宋体" w:hAnsi="宋体" w:cs="宋体"/>
          <w:color w:val="auto"/>
          <w:szCs w:val="21"/>
        </w:rPr>
        <w:t>：</w:t>
      </w:r>
      <w:r>
        <w:rPr>
          <w:rFonts w:hint="eastAsia" w:ascii="宋体" w:hAnsi="宋体" w:cs="宋体"/>
          <w:color w:val="auto"/>
          <w:szCs w:val="21"/>
          <w:lang w:val="en-US" w:eastAsia="zh-CN"/>
        </w:rPr>
        <w:t>18623705235</w:t>
      </w:r>
    </w:p>
    <w:p>
      <w:pPr>
        <w:pStyle w:val="157"/>
        <w:autoSpaceDE w:val="0"/>
        <w:autoSpaceDN w:val="0"/>
        <w:adjustRightInd w:val="0"/>
        <w:spacing w:line="360" w:lineRule="auto"/>
        <w:outlineLvl w:val="1"/>
        <w:rPr>
          <w:rFonts w:hint="eastAsia" w:ascii="宋体" w:hAnsi="宋体" w:cs="宋体"/>
          <w:color w:val="auto"/>
          <w:szCs w:val="21"/>
        </w:rPr>
      </w:pPr>
      <w:bookmarkStart w:id="824" w:name="_Toc31032"/>
      <w:bookmarkStart w:id="825" w:name="_Toc21572"/>
      <w:r>
        <w:rPr>
          <w:rFonts w:hint="eastAsia" w:ascii="宋体" w:hAnsi="宋体" w:cs="宋体"/>
          <w:color w:val="auto"/>
          <w:szCs w:val="21"/>
        </w:rPr>
        <w:t>地址：</w:t>
      </w:r>
      <w:bookmarkEnd w:id="824"/>
      <w:bookmarkEnd w:id="825"/>
      <w:r>
        <w:rPr>
          <w:rFonts w:hint="eastAsia" w:ascii="宋体" w:hAnsi="宋体" w:cs="宋体"/>
          <w:color w:val="auto"/>
          <w:szCs w:val="21"/>
          <w:lang w:val="en-US" w:eastAsia="zh-CN"/>
        </w:rPr>
        <w:t>开封市杞县西关西街53号</w:t>
      </w:r>
    </w:p>
    <w:p>
      <w:pPr>
        <w:pStyle w:val="157"/>
        <w:autoSpaceDE w:val="0"/>
        <w:autoSpaceDN w:val="0"/>
        <w:adjustRightInd w:val="0"/>
        <w:spacing w:line="360" w:lineRule="auto"/>
        <w:outlineLvl w:val="1"/>
        <w:rPr>
          <w:rFonts w:hint="eastAsia" w:ascii="宋体" w:hAnsi="宋体" w:cs="宋体"/>
          <w:color w:val="auto"/>
          <w:szCs w:val="21"/>
        </w:rPr>
      </w:pPr>
      <w:bookmarkStart w:id="826" w:name="_Toc10127"/>
      <w:bookmarkStart w:id="827" w:name="_Toc5328"/>
      <w:r>
        <w:rPr>
          <w:rFonts w:hint="eastAsia" w:ascii="宋体" w:hAnsi="宋体" w:cs="宋体"/>
          <w:color w:val="auto"/>
          <w:szCs w:val="21"/>
        </w:rPr>
        <w:t>2、代理机构受理异议联系人：</w:t>
      </w:r>
      <w:bookmarkEnd w:id="826"/>
      <w:bookmarkEnd w:id="827"/>
      <w:bookmarkStart w:id="828" w:name="_Toc12311"/>
      <w:bookmarkStart w:id="829" w:name="_Toc4748"/>
      <w:r>
        <w:rPr>
          <w:rFonts w:hint="eastAsia" w:ascii="宋体" w:hAnsi="宋体" w:cs="宋体"/>
          <w:color w:val="auto"/>
          <w:szCs w:val="21"/>
        </w:rPr>
        <w:t>赵女士</w:t>
      </w:r>
    </w:p>
    <w:p>
      <w:pPr>
        <w:pStyle w:val="157"/>
        <w:autoSpaceDE w:val="0"/>
        <w:autoSpaceDN w:val="0"/>
        <w:adjustRightInd w:val="0"/>
        <w:spacing w:line="360" w:lineRule="auto"/>
        <w:outlineLvl w:val="1"/>
        <w:rPr>
          <w:rFonts w:hint="eastAsia" w:ascii="宋体" w:hAnsi="宋体" w:cs="宋体"/>
          <w:color w:val="auto"/>
          <w:szCs w:val="21"/>
        </w:rPr>
      </w:pPr>
      <w:r>
        <w:rPr>
          <w:rFonts w:hint="eastAsia" w:ascii="宋体" w:hAnsi="宋体" w:cs="宋体"/>
          <w:color w:val="auto"/>
          <w:szCs w:val="21"/>
        </w:rPr>
        <w:t>联系电话：0371-55190668</w:t>
      </w:r>
    </w:p>
    <w:p>
      <w:pPr>
        <w:pStyle w:val="157"/>
        <w:autoSpaceDE w:val="0"/>
        <w:autoSpaceDN w:val="0"/>
        <w:adjustRightInd w:val="0"/>
        <w:spacing w:line="360" w:lineRule="auto"/>
        <w:outlineLvl w:val="1"/>
        <w:rPr>
          <w:rFonts w:hint="eastAsia" w:ascii="宋体" w:hAnsi="宋体" w:cs="宋体"/>
          <w:color w:val="auto"/>
          <w:szCs w:val="21"/>
        </w:rPr>
      </w:pPr>
      <w:r>
        <w:rPr>
          <w:rFonts w:hint="eastAsia" w:ascii="宋体" w:hAnsi="宋体" w:cs="宋体"/>
          <w:color w:val="auto"/>
          <w:szCs w:val="21"/>
        </w:rPr>
        <w:t>地址：</w:t>
      </w:r>
      <w:r>
        <w:rPr>
          <w:rFonts w:hint="eastAsia" w:ascii="宋体" w:hAnsi="宋体"/>
          <w:color w:val="auto"/>
          <w:szCs w:val="21"/>
        </w:rPr>
        <w:t>郑州市郑东新区金水东路南雅宝东方国际广场2号楼610室</w:t>
      </w:r>
    </w:p>
    <w:p>
      <w:pPr>
        <w:pStyle w:val="157"/>
        <w:autoSpaceDE w:val="0"/>
        <w:autoSpaceDN w:val="0"/>
        <w:adjustRightInd w:val="0"/>
        <w:spacing w:line="360" w:lineRule="auto"/>
        <w:outlineLvl w:val="1"/>
        <w:rPr>
          <w:rFonts w:hint="eastAsia" w:ascii="宋体" w:hAnsi="宋体" w:cs="宋体"/>
          <w:color w:val="auto"/>
          <w:szCs w:val="21"/>
        </w:rPr>
      </w:pPr>
      <w:r>
        <w:rPr>
          <w:rFonts w:hint="eastAsia" w:ascii="宋体" w:hAnsi="宋体" w:cs="宋体"/>
          <w:color w:val="auto"/>
          <w:szCs w:val="21"/>
        </w:rPr>
        <w:t>3、投诉接收登记部门：杞县公管办</w:t>
      </w:r>
      <w:bookmarkEnd w:id="828"/>
      <w:bookmarkEnd w:id="829"/>
      <w:r>
        <w:rPr>
          <w:rFonts w:hint="eastAsia" w:ascii="宋体" w:hAnsi="宋体" w:cs="宋体"/>
          <w:color w:val="auto"/>
          <w:szCs w:val="21"/>
        </w:rPr>
        <w:t xml:space="preserve">  </w:t>
      </w:r>
    </w:p>
    <w:p>
      <w:pPr>
        <w:pStyle w:val="157"/>
        <w:autoSpaceDE w:val="0"/>
        <w:autoSpaceDN w:val="0"/>
        <w:adjustRightInd w:val="0"/>
        <w:spacing w:line="360" w:lineRule="auto"/>
        <w:ind w:firstLine="630" w:firstLineChars="300"/>
        <w:outlineLvl w:val="1"/>
        <w:rPr>
          <w:rFonts w:hint="eastAsia" w:ascii="宋体" w:hAnsi="宋体" w:cs="宋体"/>
          <w:color w:val="auto"/>
          <w:szCs w:val="21"/>
        </w:rPr>
      </w:pPr>
      <w:bookmarkStart w:id="830" w:name="_Toc7338"/>
      <w:bookmarkStart w:id="831" w:name="_Toc32658"/>
      <w:r>
        <w:rPr>
          <w:rFonts w:hint="eastAsia" w:ascii="宋体" w:hAnsi="宋体" w:cs="宋体"/>
          <w:color w:val="auto"/>
          <w:szCs w:val="21"/>
        </w:rPr>
        <w:t>联系电话：0371-28666977</w:t>
      </w:r>
      <w:bookmarkEnd w:id="830"/>
      <w:bookmarkEnd w:id="831"/>
      <w:r>
        <w:rPr>
          <w:rFonts w:hint="eastAsia" w:ascii="宋体" w:hAnsi="宋体" w:cs="宋体"/>
          <w:color w:val="auto"/>
          <w:szCs w:val="21"/>
        </w:rPr>
        <w:t xml:space="preserve"> </w:t>
      </w:r>
    </w:p>
    <w:p>
      <w:pPr>
        <w:pStyle w:val="157"/>
        <w:autoSpaceDE w:val="0"/>
        <w:autoSpaceDN w:val="0"/>
        <w:adjustRightInd w:val="0"/>
        <w:spacing w:line="360" w:lineRule="auto"/>
        <w:ind w:firstLine="630" w:firstLineChars="300"/>
        <w:outlineLvl w:val="1"/>
        <w:rPr>
          <w:rFonts w:hint="eastAsia" w:ascii="宋体" w:hAnsi="宋体" w:cs="宋体"/>
          <w:color w:val="auto"/>
          <w:szCs w:val="21"/>
        </w:rPr>
      </w:pPr>
      <w:bookmarkStart w:id="832" w:name="_Toc7146"/>
      <w:bookmarkStart w:id="833" w:name="_Toc10354"/>
      <w:r>
        <w:rPr>
          <w:rFonts w:hint="eastAsia" w:ascii="宋体" w:hAnsi="宋体" w:cs="宋体"/>
          <w:color w:val="auto"/>
          <w:szCs w:val="21"/>
        </w:rPr>
        <w:t>地址：杞县综合服务大厦十二楼</w:t>
      </w:r>
      <w:bookmarkEnd w:id="832"/>
      <w:bookmarkEnd w:id="833"/>
    </w:p>
    <w:p>
      <w:pPr>
        <w:pStyle w:val="157"/>
        <w:autoSpaceDE w:val="0"/>
        <w:autoSpaceDN w:val="0"/>
        <w:adjustRightInd w:val="0"/>
        <w:spacing w:line="360" w:lineRule="auto"/>
        <w:outlineLvl w:val="1"/>
        <w:rPr>
          <w:rFonts w:hint="eastAsia" w:ascii="宋体" w:hAnsi="宋体" w:cs="宋体"/>
          <w:color w:val="auto"/>
          <w:szCs w:val="21"/>
        </w:rPr>
      </w:pPr>
      <w:bookmarkStart w:id="834" w:name="_Toc4780"/>
      <w:bookmarkStart w:id="835" w:name="_Toc4393"/>
      <w:r>
        <w:rPr>
          <w:rFonts w:hint="eastAsia" w:ascii="宋体" w:hAnsi="宋体" w:cs="宋体"/>
          <w:color w:val="auto"/>
          <w:szCs w:val="21"/>
        </w:rPr>
        <w:t>4、行政监督部门：县招标办</w:t>
      </w:r>
      <w:bookmarkEnd w:id="834"/>
      <w:bookmarkEnd w:id="835"/>
    </w:p>
    <w:p>
      <w:pPr>
        <w:pStyle w:val="157"/>
        <w:autoSpaceDE w:val="0"/>
        <w:autoSpaceDN w:val="0"/>
        <w:adjustRightInd w:val="0"/>
        <w:spacing w:line="360" w:lineRule="auto"/>
        <w:outlineLvl w:val="1"/>
        <w:rPr>
          <w:rFonts w:hint="eastAsia" w:ascii="宋体" w:hAnsi="宋体" w:cs="宋体"/>
          <w:color w:val="auto"/>
          <w:szCs w:val="21"/>
        </w:rPr>
      </w:pPr>
      <w:bookmarkStart w:id="836" w:name="_Toc21358"/>
      <w:bookmarkStart w:id="837" w:name="_Toc18066"/>
      <w:r>
        <w:rPr>
          <w:rFonts w:hint="eastAsia" w:ascii="宋体" w:hAnsi="宋体" w:cs="宋体"/>
          <w:color w:val="auto"/>
          <w:szCs w:val="21"/>
        </w:rPr>
        <w:t>联系电话： 0371-2866697</w:t>
      </w:r>
      <w:bookmarkEnd w:id="836"/>
      <w:r>
        <w:rPr>
          <w:rFonts w:hint="eastAsia" w:ascii="宋体" w:hAnsi="宋体" w:cs="宋体"/>
          <w:color w:val="auto"/>
          <w:szCs w:val="21"/>
        </w:rPr>
        <w:t>8</w:t>
      </w:r>
      <w:bookmarkEnd w:id="837"/>
      <w:r>
        <w:rPr>
          <w:rFonts w:hint="eastAsia" w:ascii="宋体" w:hAnsi="宋体" w:cs="宋体"/>
          <w:color w:val="auto"/>
          <w:szCs w:val="21"/>
        </w:rPr>
        <w:t xml:space="preserve">   </w:t>
      </w:r>
    </w:p>
    <w:p>
      <w:pPr>
        <w:pStyle w:val="157"/>
        <w:autoSpaceDE w:val="0"/>
        <w:autoSpaceDN w:val="0"/>
        <w:adjustRightInd w:val="0"/>
        <w:spacing w:line="360" w:lineRule="auto"/>
        <w:outlineLvl w:val="1"/>
        <w:rPr>
          <w:rFonts w:hint="eastAsia" w:ascii="宋体" w:hAnsi="宋体" w:cs="宋体"/>
          <w:color w:val="auto"/>
          <w:szCs w:val="21"/>
        </w:rPr>
      </w:pPr>
      <w:bookmarkStart w:id="838" w:name="_Toc25613"/>
      <w:bookmarkStart w:id="839" w:name="_Toc16719"/>
      <w:r>
        <w:rPr>
          <w:rFonts w:hint="eastAsia" w:ascii="宋体" w:hAnsi="宋体" w:cs="宋体"/>
          <w:color w:val="auto"/>
          <w:szCs w:val="21"/>
        </w:rPr>
        <w:t>地址：杞县综合服务大厦十二楼</w:t>
      </w:r>
      <w:bookmarkEnd w:id="838"/>
      <w:bookmarkEnd w:id="839"/>
    </w:p>
    <w:p>
      <w:pPr>
        <w:pStyle w:val="157"/>
        <w:autoSpaceDE w:val="0"/>
        <w:autoSpaceDN w:val="0"/>
        <w:adjustRightInd w:val="0"/>
        <w:spacing w:line="360" w:lineRule="auto"/>
        <w:outlineLvl w:val="1"/>
        <w:rPr>
          <w:rFonts w:hint="eastAsia" w:ascii="宋体" w:hAnsi="宋体" w:cs="宋体"/>
          <w:color w:val="auto"/>
          <w:szCs w:val="21"/>
        </w:rPr>
      </w:pPr>
      <w:bookmarkStart w:id="840" w:name="_Toc12538"/>
      <w:bookmarkStart w:id="841" w:name="_Toc1497"/>
      <w:r>
        <w:rPr>
          <w:rFonts w:hint="eastAsia" w:ascii="宋体" w:hAnsi="宋体" w:cs="宋体"/>
          <w:color w:val="auto"/>
          <w:szCs w:val="21"/>
        </w:rPr>
        <w:t>5、异议书和投诉书需按照开封市公共资源交易信息网重要文件栏目中工程建设项目质疑注意事项和工程建设项目投诉注意事项的要求及格式整理完整后，递交到以上对应部门。</w:t>
      </w:r>
      <w:bookmarkEnd w:id="840"/>
      <w:bookmarkEnd w:id="841"/>
    </w:p>
    <w:p>
      <w:pPr>
        <w:pStyle w:val="157"/>
        <w:autoSpaceDE w:val="0"/>
        <w:autoSpaceDN w:val="0"/>
        <w:adjustRightInd w:val="0"/>
        <w:spacing w:line="360" w:lineRule="auto"/>
        <w:outlineLvl w:val="1"/>
        <w:rPr>
          <w:rFonts w:hint="eastAsia" w:ascii="宋体" w:hAnsi="宋体" w:cs="宋体"/>
          <w:color w:val="auto"/>
          <w:szCs w:val="21"/>
        </w:rPr>
      </w:pPr>
      <w:bookmarkStart w:id="842" w:name="_Toc26087"/>
      <w:bookmarkStart w:id="843" w:name="_Toc31171"/>
      <w:r>
        <w:rPr>
          <w:rFonts w:hint="eastAsia" w:ascii="宋体" w:hAnsi="宋体" w:cs="宋体"/>
          <w:color w:val="auto"/>
          <w:szCs w:val="21"/>
        </w:rPr>
        <w:t>6、异议和投诉需遵照《中华人民共和国招标投标法》《中华人民共和国招标投标法实施条例》《工程建设项目招标投标活动投诉处理办法》的有关规定进行。</w:t>
      </w:r>
      <w:bookmarkEnd w:id="842"/>
      <w:bookmarkEnd w:id="843"/>
    </w:p>
    <w:p>
      <w:pPr>
        <w:pStyle w:val="52"/>
        <w:rPr>
          <w:rFonts w:hint="eastAsia"/>
          <w:color w:val="auto"/>
        </w:rPr>
      </w:pPr>
      <w:r>
        <w:rPr>
          <w:rFonts w:hint="eastAsia"/>
          <w:color w:val="auto"/>
        </w:rPr>
        <w:br w:type="page"/>
      </w:r>
    </w:p>
    <w:p>
      <w:pPr>
        <w:pStyle w:val="52"/>
        <w:rPr>
          <w:color w:val="auto"/>
          <w:sz w:val="44"/>
          <w:szCs w:val="44"/>
        </w:rPr>
      </w:pPr>
      <w:bookmarkStart w:id="844" w:name="_Toc9447_WPSOffice_Level1"/>
      <w:r>
        <w:rPr>
          <w:rFonts w:hint="eastAsia"/>
          <w:color w:val="auto"/>
          <w:sz w:val="44"/>
          <w:szCs w:val="44"/>
        </w:rPr>
        <w:t>第三章 评标办法</w:t>
      </w:r>
      <w:bookmarkEnd w:id="42"/>
      <w:bookmarkEnd w:id="43"/>
      <w:bookmarkEnd w:id="44"/>
      <w:bookmarkEnd w:id="45"/>
      <w:bookmarkEnd w:id="46"/>
      <w:bookmarkEnd w:id="47"/>
      <w:bookmarkEnd w:id="48"/>
      <w:bookmarkEnd w:id="49"/>
      <w:bookmarkEnd w:id="50"/>
      <w:bookmarkEnd w:id="51"/>
      <w:bookmarkEnd w:id="818"/>
      <w:r>
        <w:rPr>
          <w:rFonts w:hint="eastAsia"/>
          <w:color w:val="auto"/>
          <w:sz w:val="44"/>
          <w:szCs w:val="44"/>
        </w:rPr>
        <w:t>（综合评估法）</w:t>
      </w:r>
      <w:bookmarkEnd w:id="819"/>
      <w:bookmarkEnd w:id="844"/>
    </w:p>
    <w:p>
      <w:pPr>
        <w:pStyle w:val="9"/>
        <w:spacing w:before="0" w:after="0" w:line="240" w:lineRule="auto"/>
        <w:jc w:val="center"/>
        <w:rPr>
          <w:color w:val="auto"/>
        </w:rPr>
      </w:pPr>
      <w:bookmarkStart w:id="845" w:name="_Toc327565162"/>
      <w:bookmarkStart w:id="846" w:name="_Toc349724377"/>
      <w:bookmarkStart w:id="847" w:name="_Toc393903076"/>
      <w:bookmarkStart w:id="848" w:name="_Toc390066659"/>
      <w:bookmarkStart w:id="849" w:name="_Toc393641986"/>
      <w:bookmarkStart w:id="850" w:name="_Toc321472351"/>
      <w:bookmarkStart w:id="851" w:name="_Toc387858015"/>
      <w:bookmarkStart w:id="852" w:name="_Toc214433972"/>
      <w:bookmarkStart w:id="853" w:name="_Toc227492329"/>
      <w:bookmarkStart w:id="854" w:name="_Toc228591741"/>
      <w:bookmarkStart w:id="855" w:name="_Toc228589247"/>
      <w:bookmarkStart w:id="856" w:name="_Toc227657571"/>
      <w:bookmarkStart w:id="857" w:name="_Toc228337182"/>
      <w:bookmarkStart w:id="858" w:name="_Toc228881233"/>
      <w:bookmarkStart w:id="859" w:name="_Toc228591593"/>
      <w:r>
        <w:rPr>
          <w:rFonts w:hint="eastAsia"/>
          <w:color w:val="auto"/>
        </w:rPr>
        <w:t>评标办法前附表</w:t>
      </w:r>
      <w:bookmarkEnd w:id="845"/>
      <w:bookmarkEnd w:id="846"/>
      <w:bookmarkEnd w:id="847"/>
      <w:bookmarkEnd w:id="848"/>
      <w:bookmarkEnd w:id="849"/>
      <w:bookmarkStart w:id="860" w:name="_Toc393903077"/>
      <w:bookmarkStart w:id="861" w:name="_Toc388035607"/>
    </w:p>
    <w:tbl>
      <w:tblPr>
        <w:tblStyle w:val="54"/>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9"/>
        <w:gridCol w:w="157"/>
        <w:gridCol w:w="363"/>
        <w:gridCol w:w="567"/>
        <w:gridCol w:w="1630"/>
        <w:gridCol w:w="638"/>
        <w:gridCol w:w="552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6" w:type="dxa"/>
            <w:gridSpan w:val="4"/>
            <w:vAlign w:val="center"/>
          </w:tcPr>
          <w:p>
            <w:pPr>
              <w:autoSpaceDE w:val="0"/>
              <w:autoSpaceDN w:val="0"/>
              <w:adjustRightInd w:val="0"/>
              <w:spacing w:line="360" w:lineRule="exact"/>
              <w:jc w:val="center"/>
              <w:rPr>
                <w:rFonts w:ascii="宋体" w:hAnsi="宋体" w:cs="宋体"/>
                <w:b/>
                <w:color w:val="auto"/>
                <w:kern w:val="0"/>
                <w:szCs w:val="21"/>
              </w:rPr>
            </w:pPr>
            <w:r>
              <w:rPr>
                <w:rFonts w:hint="eastAsia" w:ascii="宋体" w:hAnsi="宋体" w:cs="宋体"/>
                <w:b/>
                <w:color w:val="auto"/>
                <w:kern w:val="0"/>
                <w:szCs w:val="21"/>
              </w:rPr>
              <w:t>条款号</w:t>
            </w:r>
          </w:p>
        </w:tc>
        <w:tc>
          <w:tcPr>
            <w:tcW w:w="2835" w:type="dxa"/>
            <w:gridSpan w:val="3"/>
            <w:vAlign w:val="center"/>
          </w:tcPr>
          <w:p>
            <w:pPr>
              <w:autoSpaceDE w:val="0"/>
              <w:autoSpaceDN w:val="0"/>
              <w:adjustRightInd w:val="0"/>
              <w:spacing w:line="36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5542" w:type="dxa"/>
            <w:gridSpan w:val="2"/>
            <w:vAlign w:val="center"/>
          </w:tcPr>
          <w:p>
            <w:pPr>
              <w:autoSpaceDE w:val="0"/>
              <w:autoSpaceDN w:val="0"/>
              <w:adjustRightInd w:val="0"/>
              <w:spacing w:line="36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6" w:type="dxa"/>
            <w:gridSpan w:val="2"/>
            <w:vMerge w:val="restart"/>
            <w:vAlign w:val="center"/>
          </w:tcPr>
          <w:p>
            <w:pPr>
              <w:autoSpaceDE w:val="0"/>
              <w:autoSpaceDN w:val="0"/>
              <w:adjustRightInd w:val="0"/>
              <w:spacing w:line="240" w:lineRule="atLeast"/>
              <w:jc w:val="center"/>
              <w:rPr>
                <w:rFonts w:ascii="宋体" w:hAnsi="宋体" w:cs="黑体"/>
                <w:color w:val="auto"/>
                <w:kern w:val="0"/>
                <w:szCs w:val="21"/>
              </w:rPr>
            </w:pPr>
            <w:r>
              <w:rPr>
                <w:rFonts w:ascii="宋体" w:hAnsi="宋体" w:cs="宋体"/>
                <w:color w:val="auto"/>
                <w:kern w:val="0"/>
                <w:szCs w:val="21"/>
              </w:rPr>
              <w:t>2.1</w:t>
            </w:r>
            <w:r>
              <w:rPr>
                <w:rFonts w:hint="eastAsia" w:ascii="宋体" w:hAnsi="宋体" w:cs="宋体"/>
                <w:color w:val="auto"/>
                <w:kern w:val="0"/>
                <w:szCs w:val="21"/>
              </w:rPr>
              <w:t>.1</w:t>
            </w:r>
          </w:p>
        </w:tc>
        <w:tc>
          <w:tcPr>
            <w:tcW w:w="520" w:type="dxa"/>
            <w:gridSpan w:val="2"/>
            <w:vMerge w:val="restart"/>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形</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式</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评</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审</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标</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准</w:t>
            </w: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投标人名称</w:t>
            </w:r>
          </w:p>
        </w:tc>
        <w:tc>
          <w:tcPr>
            <w:tcW w:w="5542" w:type="dxa"/>
            <w:gridSpan w:val="2"/>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投标函签字盖章</w:t>
            </w:r>
          </w:p>
        </w:tc>
        <w:tc>
          <w:tcPr>
            <w:tcW w:w="5542" w:type="dxa"/>
            <w:gridSpan w:val="2"/>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符合</w:t>
            </w:r>
            <w:r>
              <w:rPr>
                <w:rFonts w:hint="eastAsia" w:ascii="宋体" w:hAnsi="宋体" w:cs="宋体"/>
                <w:color w:val="auto"/>
                <w:kern w:val="0"/>
                <w:szCs w:val="21"/>
                <w:lang w:eastAsia="zh-CN"/>
              </w:rPr>
              <w:t>招标文件规定签字盖章</w:t>
            </w:r>
            <w:r>
              <w:rPr>
                <w:rFonts w:hint="eastAsia" w:ascii="宋体" w:hAnsi="宋体" w:cs="宋体"/>
                <w:color w:val="auto"/>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投标文件格式</w:t>
            </w:r>
          </w:p>
        </w:tc>
        <w:tc>
          <w:tcPr>
            <w:tcW w:w="5542" w:type="dxa"/>
            <w:gridSpan w:val="2"/>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符合第八章</w:t>
            </w:r>
            <w:r>
              <w:rPr>
                <w:rFonts w:ascii="宋体" w:hAnsi="宋体" w:cs="宋体"/>
                <w:color w:val="auto"/>
                <w:kern w:val="0"/>
                <w:szCs w:val="21"/>
              </w:rPr>
              <w:t>“</w:t>
            </w:r>
            <w:r>
              <w:rPr>
                <w:rFonts w:hint="eastAsia" w:ascii="宋体" w:hAnsi="宋体" w:cs="宋体"/>
                <w:color w:val="auto"/>
                <w:kern w:val="0"/>
                <w:szCs w:val="21"/>
              </w:rPr>
              <w:t>投标文件格式</w:t>
            </w:r>
            <w:r>
              <w:rPr>
                <w:rFonts w:ascii="宋体" w:hAnsi="宋体" w:cs="宋体"/>
                <w:color w:val="auto"/>
                <w:kern w:val="0"/>
                <w:szCs w:val="21"/>
              </w:rPr>
              <w:t>”</w:t>
            </w:r>
            <w:r>
              <w:rPr>
                <w:rFonts w:hint="eastAsia" w:ascii="宋体" w:hAnsi="宋体" w:cs="宋体"/>
                <w:color w:val="auto"/>
                <w:kern w:val="0"/>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报价唯一</w:t>
            </w:r>
          </w:p>
        </w:tc>
        <w:tc>
          <w:tcPr>
            <w:tcW w:w="5542" w:type="dxa"/>
            <w:gridSpan w:val="2"/>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restart"/>
            <w:vAlign w:val="center"/>
          </w:tcPr>
          <w:p>
            <w:pPr>
              <w:autoSpaceDE w:val="0"/>
              <w:autoSpaceDN w:val="0"/>
              <w:adjustRightInd w:val="0"/>
              <w:spacing w:line="240" w:lineRule="atLeast"/>
              <w:jc w:val="center"/>
              <w:rPr>
                <w:rFonts w:ascii="宋体" w:hAnsi="宋体" w:cs="黑体"/>
                <w:color w:val="auto"/>
                <w:kern w:val="0"/>
                <w:szCs w:val="21"/>
              </w:rPr>
            </w:pPr>
            <w:r>
              <w:rPr>
                <w:rFonts w:ascii="宋体" w:hAnsi="宋体" w:cs="宋体"/>
                <w:color w:val="auto"/>
                <w:kern w:val="0"/>
                <w:szCs w:val="21"/>
              </w:rPr>
              <w:t>2.</w:t>
            </w:r>
            <w:r>
              <w:rPr>
                <w:rFonts w:hint="eastAsia" w:ascii="宋体" w:hAnsi="宋体" w:cs="宋体"/>
                <w:color w:val="auto"/>
                <w:kern w:val="0"/>
                <w:szCs w:val="21"/>
              </w:rPr>
              <w:t>1.2</w:t>
            </w:r>
          </w:p>
        </w:tc>
        <w:tc>
          <w:tcPr>
            <w:tcW w:w="520" w:type="dxa"/>
            <w:gridSpan w:val="2"/>
            <w:vMerge w:val="restart"/>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资</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格</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评</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审</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标</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准</w:t>
            </w: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营业执照</w:t>
            </w:r>
          </w:p>
        </w:tc>
        <w:tc>
          <w:tcPr>
            <w:tcW w:w="5542" w:type="dxa"/>
            <w:gridSpan w:val="2"/>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安全生产许可证</w:t>
            </w:r>
            <w:r>
              <w:rPr>
                <w:rFonts w:hint="eastAsia" w:ascii="宋体" w:hAnsi="宋体" w:cs="宋体"/>
                <w:color w:val="auto"/>
                <w:kern w:val="0"/>
                <w:szCs w:val="21"/>
                <w:lang w:val="en-US" w:eastAsia="zh-CN"/>
              </w:rPr>
              <w:t>(</w:t>
            </w:r>
            <w:r>
              <w:rPr>
                <w:rFonts w:hint="eastAsia" w:ascii="宋体" w:hAnsi="宋体" w:cs="宋体"/>
                <w:color w:val="auto"/>
                <w:kern w:val="0"/>
                <w:szCs w:val="21"/>
              </w:rPr>
              <w:t>水利水电工程施工总承包</w:t>
            </w:r>
            <w:r>
              <w:rPr>
                <w:rFonts w:hint="eastAsia" w:ascii="宋体" w:hAnsi="宋体" w:cs="宋体"/>
                <w:color w:val="auto"/>
                <w:kern w:val="0"/>
                <w:szCs w:val="21"/>
                <w:lang w:eastAsia="zh-CN"/>
              </w:rPr>
              <w:t>资质提供）</w:t>
            </w:r>
          </w:p>
        </w:tc>
        <w:tc>
          <w:tcPr>
            <w:tcW w:w="5542" w:type="dxa"/>
            <w:gridSpan w:val="2"/>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资质</w:t>
            </w:r>
            <w:r>
              <w:rPr>
                <w:rFonts w:hint="eastAsia" w:ascii="宋体" w:hAnsi="宋体" w:cs="宋体"/>
                <w:color w:val="auto"/>
                <w:kern w:val="0"/>
                <w:szCs w:val="21"/>
                <w:lang w:val="en-US" w:eastAsia="zh-CN"/>
              </w:rPr>
              <w:t>证书</w:t>
            </w:r>
            <w:r>
              <w:rPr>
                <w:rFonts w:hint="eastAsia" w:cs="宋体"/>
                <w:color w:val="000000"/>
                <w:szCs w:val="22"/>
                <w:shd w:val="clear" w:color="auto" w:fill="FFFFFF"/>
                <w:lang w:val="en-US" w:eastAsia="zh-CN"/>
              </w:rPr>
              <w:t>(</w:t>
            </w:r>
            <w:r>
              <w:rPr>
                <w:rFonts w:hint="eastAsia" w:ascii="宋体" w:hAnsi="宋体" w:cs="宋体"/>
                <w:kern w:val="2"/>
                <w:sz w:val="21"/>
                <w:szCs w:val="21"/>
              </w:rPr>
              <w:t>水利水电工程施工总承包</w:t>
            </w:r>
            <w:r>
              <w:rPr>
                <w:rFonts w:hint="eastAsia" w:ascii="宋体" w:hAnsi="宋体" w:cs="宋体"/>
                <w:kern w:val="2"/>
                <w:sz w:val="21"/>
                <w:szCs w:val="21"/>
                <w:lang w:eastAsia="zh-CN"/>
              </w:rPr>
              <w:t>资质提供）</w:t>
            </w:r>
          </w:p>
        </w:tc>
        <w:tc>
          <w:tcPr>
            <w:tcW w:w="5542" w:type="dxa"/>
            <w:gridSpan w:val="2"/>
            <w:vAlign w:val="center"/>
          </w:tcPr>
          <w:p>
            <w:pPr>
              <w:spacing w:line="240" w:lineRule="atLeast"/>
              <w:jc w:val="center"/>
              <w:rPr>
                <w:rFonts w:ascii="宋体" w:hAnsi="宋体" w:cs="宋体"/>
                <w:color w:val="auto"/>
                <w:kern w:val="0"/>
                <w:szCs w:val="21"/>
              </w:rPr>
            </w:pPr>
            <w:r>
              <w:rPr>
                <w:rFonts w:hint="eastAsia" w:ascii="宋体" w:hAnsi="宋体" w:cs="宋体"/>
                <w:color w:val="auto"/>
                <w:kern w:val="0"/>
                <w:szCs w:val="21"/>
              </w:rPr>
              <w:t>符合第二章</w:t>
            </w:r>
            <w:r>
              <w:rPr>
                <w:rFonts w:ascii="宋体" w:hAnsi="宋体" w:cs="宋体"/>
                <w:color w:val="auto"/>
                <w:kern w:val="0"/>
                <w:szCs w:val="21"/>
              </w:rPr>
              <w:t>“</w:t>
            </w:r>
            <w:r>
              <w:rPr>
                <w:rFonts w:hint="eastAsia" w:ascii="宋体" w:hAnsi="宋体" w:cs="宋体"/>
                <w:color w:val="auto"/>
                <w:kern w:val="0"/>
                <w:szCs w:val="21"/>
              </w:rPr>
              <w:t>投标人须知</w:t>
            </w:r>
            <w:r>
              <w:rPr>
                <w:rFonts w:ascii="宋体" w:hAnsi="宋体" w:cs="宋体"/>
                <w:color w:val="auto"/>
                <w:kern w:val="0"/>
                <w:szCs w:val="21"/>
              </w:rPr>
              <w:t>”</w:t>
            </w:r>
            <w:r>
              <w:rPr>
                <w:rFonts w:hint="eastAsia" w:ascii="宋体" w:hAnsi="宋体" w:cs="宋体"/>
                <w:color w:val="auto"/>
                <w:kern w:val="0"/>
                <w:szCs w:val="21"/>
              </w:rPr>
              <w:t>第</w:t>
            </w:r>
            <w:r>
              <w:rPr>
                <w:rFonts w:ascii="宋体" w:hAnsi="宋体" w:cs="宋体"/>
                <w:color w:val="auto"/>
                <w:kern w:val="0"/>
                <w:szCs w:val="21"/>
              </w:rPr>
              <w:t>1.4.1</w:t>
            </w:r>
            <w:r>
              <w:rPr>
                <w:rFonts w:hint="eastAsia" w:ascii="宋体" w:hAnsi="宋体" w:cs="宋体"/>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财务状况</w:t>
            </w:r>
          </w:p>
        </w:tc>
        <w:tc>
          <w:tcPr>
            <w:tcW w:w="5542" w:type="dxa"/>
            <w:gridSpan w:val="2"/>
            <w:vAlign w:val="center"/>
          </w:tcPr>
          <w:p>
            <w:pPr>
              <w:spacing w:line="240" w:lineRule="atLeast"/>
              <w:jc w:val="center"/>
              <w:rPr>
                <w:rFonts w:ascii="宋体" w:hAnsi="宋体" w:cs="宋体"/>
                <w:color w:val="auto"/>
                <w:kern w:val="0"/>
                <w:szCs w:val="21"/>
              </w:rPr>
            </w:pPr>
            <w:r>
              <w:rPr>
                <w:rFonts w:hint="eastAsia" w:ascii="宋体" w:hAnsi="宋体" w:cs="宋体"/>
                <w:color w:val="auto"/>
                <w:kern w:val="0"/>
                <w:szCs w:val="21"/>
              </w:rPr>
              <w:t>符合第二章</w:t>
            </w:r>
            <w:r>
              <w:rPr>
                <w:rFonts w:ascii="宋体" w:hAnsi="宋体" w:cs="宋体"/>
                <w:color w:val="auto"/>
                <w:kern w:val="0"/>
                <w:szCs w:val="21"/>
              </w:rPr>
              <w:t>“</w:t>
            </w:r>
            <w:r>
              <w:rPr>
                <w:rFonts w:hint="eastAsia" w:ascii="宋体" w:hAnsi="宋体" w:cs="宋体"/>
                <w:color w:val="auto"/>
                <w:kern w:val="0"/>
                <w:szCs w:val="21"/>
              </w:rPr>
              <w:t>投标人须知</w:t>
            </w:r>
            <w:r>
              <w:rPr>
                <w:rFonts w:ascii="宋体" w:hAnsi="宋体" w:cs="宋体"/>
                <w:color w:val="auto"/>
                <w:kern w:val="0"/>
                <w:szCs w:val="21"/>
              </w:rPr>
              <w:t>”</w:t>
            </w:r>
            <w:r>
              <w:rPr>
                <w:rFonts w:hint="eastAsia" w:ascii="宋体" w:hAnsi="宋体" w:cs="宋体"/>
                <w:color w:val="auto"/>
                <w:kern w:val="0"/>
                <w:szCs w:val="21"/>
              </w:rPr>
              <w:t>第</w:t>
            </w:r>
            <w:r>
              <w:rPr>
                <w:rFonts w:ascii="宋体" w:hAnsi="宋体" w:cs="宋体"/>
                <w:color w:val="auto"/>
                <w:kern w:val="0"/>
                <w:szCs w:val="21"/>
              </w:rPr>
              <w:t>1.4.1</w:t>
            </w:r>
            <w:r>
              <w:rPr>
                <w:rFonts w:hint="eastAsia" w:ascii="宋体" w:hAnsi="宋体" w:cs="宋体"/>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 xml:space="preserve">信誉要求 </w:t>
            </w:r>
          </w:p>
        </w:tc>
        <w:tc>
          <w:tcPr>
            <w:tcW w:w="5542" w:type="dxa"/>
            <w:gridSpan w:val="2"/>
            <w:vAlign w:val="center"/>
          </w:tcPr>
          <w:p>
            <w:pPr>
              <w:spacing w:line="240" w:lineRule="atLeast"/>
              <w:jc w:val="center"/>
              <w:rPr>
                <w:rFonts w:ascii="宋体" w:hAnsi="宋体" w:cs="宋体"/>
                <w:color w:val="auto"/>
                <w:kern w:val="0"/>
                <w:szCs w:val="21"/>
              </w:rPr>
            </w:pPr>
            <w:r>
              <w:rPr>
                <w:rFonts w:hint="eastAsia" w:ascii="宋体" w:hAnsi="宋体" w:cs="宋体"/>
                <w:color w:val="auto"/>
                <w:kern w:val="0"/>
                <w:szCs w:val="21"/>
              </w:rPr>
              <w:t>符合第二章</w:t>
            </w:r>
            <w:r>
              <w:rPr>
                <w:rFonts w:ascii="宋体" w:hAnsi="宋体" w:cs="宋体"/>
                <w:color w:val="auto"/>
                <w:kern w:val="0"/>
                <w:szCs w:val="21"/>
              </w:rPr>
              <w:t>“</w:t>
            </w:r>
            <w:r>
              <w:rPr>
                <w:rFonts w:hint="eastAsia" w:ascii="宋体" w:hAnsi="宋体" w:cs="宋体"/>
                <w:color w:val="auto"/>
                <w:kern w:val="0"/>
                <w:szCs w:val="21"/>
              </w:rPr>
              <w:t>投标人须知</w:t>
            </w:r>
            <w:r>
              <w:rPr>
                <w:rFonts w:ascii="宋体" w:hAnsi="宋体" w:cs="宋体"/>
                <w:color w:val="auto"/>
                <w:kern w:val="0"/>
                <w:szCs w:val="21"/>
              </w:rPr>
              <w:t>”</w:t>
            </w:r>
            <w:r>
              <w:rPr>
                <w:rFonts w:hint="eastAsia" w:ascii="宋体" w:hAnsi="宋体" w:cs="宋体"/>
                <w:color w:val="auto"/>
                <w:kern w:val="0"/>
                <w:szCs w:val="21"/>
              </w:rPr>
              <w:t>第</w:t>
            </w:r>
            <w:r>
              <w:rPr>
                <w:rFonts w:ascii="宋体" w:hAnsi="宋体" w:cs="宋体"/>
                <w:color w:val="auto"/>
                <w:kern w:val="0"/>
                <w:szCs w:val="21"/>
              </w:rPr>
              <w:t>1.4.1</w:t>
            </w:r>
            <w:r>
              <w:rPr>
                <w:rFonts w:hint="eastAsia" w:ascii="宋体" w:hAnsi="宋体" w:cs="宋体"/>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hint="eastAsia" w:ascii="宋体" w:hAnsi="宋体" w:cs="宋体"/>
                <w:color w:val="auto"/>
                <w:kern w:val="0"/>
                <w:szCs w:val="21"/>
              </w:rPr>
            </w:pPr>
            <w:r>
              <w:rPr>
                <w:rFonts w:hint="eastAsia" w:cs="宋体"/>
                <w:color w:val="000000"/>
                <w:szCs w:val="22"/>
                <w:shd w:val="clear" w:color="auto" w:fill="FFFFFF"/>
                <w:lang w:eastAsia="zh-CN"/>
              </w:rPr>
              <w:t>技术负责人</w:t>
            </w:r>
          </w:p>
        </w:tc>
        <w:tc>
          <w:tcPr>
            <w:tcW w:w="5542" w:type="dxa"/>
            <w:gridSpan w:val="2"/>
            <w:vAlign w:val="center"/>
          </w:tcPr>
          <w:p>
            <w:pPr>
              <w:spacing w:line="240" w:lineRule="atLeast"/>
              <w:jc w:val="center"/>
              <w:rPr>
                <w:rFonts w:hint="eastAsia" w:ascii="宋体" w:hAnsi="宋体" w:cs="宋体"/>
                <w:color w:val="auto"/>
                <w:kern w:val="0"/>
                <w:szCs w:val="21"/>
              </w:rPr>
            </w:pPr>
            <w:r>
              <w:rPr>
                <w:rFonts w:hint="eastAsia" w:ascii="宋体" w:hAnsi="宋体" w:cs="宋体"/>
                <w:color w:val="auto"/>
                <w:kern w:val="0"/>
                <w:szCs w:val="21"/>
              </w:rPr>
              <w:t>符合第二章</w:t>
            </w:r>
            <w:r>
              <w:rPr>
                <w:rFonts w:ascii="宋体" w:hAnsi="宋体" w:cs="宋体"/>
                <w:color w:val="auto"/>
                <w:kern w:val="0"/>
                <w:szCs w:val="21"/>
              </w:rPr>
              <w:t>“</w:t>
            </w:r>
            <w:r>
              <w:rPr>
                <w:rFonts w:hint="eastAsia" w:ascii="宋体" w:hAnsi="宋体" w:cs="宋体"/>
                <w:color w:val="auto"/>
                <w:kern w:val="0"/>
                <w:szCs w:val="21"/>
              </w:rPr>
              <w:t>投标人须知</w:t>
            </w:r>
            <w:r>
              <w:rPr>
                <w:rFonts w:ascii="宋体" w:hAnsi="宋体" w:cs="宋体"/>
                <w:color w:val="auto"/>
                <w:kern w:val="0"/>
                <w:szCs w:val="21"/>
              </w:rPr>
              <w:t>”</w:t>
            </w:r>
            <w:r>
              <w:rPr>
                <w:rFonts w:hint="eastAsia" w:ascii="宋体" w:hAnsi="宋体" w:cs="宋体"/>
                <w:color w:val="auto"/>
                <w:kern w:val="0"/>
                <w:szCs w:val="21"/>
              </w:rPr>
              <w:t>第</w:t>
            </w:r>
            <w:r>
              <w:rPr>
                <w:rFonts w:ascii="宋体" w:hAnsi="宋体" w:cs="宋体"/>
                <w:color w:val="auto"/>
                <w:kern w:val="0"/>
                <w:szCs w:val="21"/>
              </w:rPr>
              <w:t>1.4.1</w:t>
            </w:r>
            <w:r>
              <w:rPr>
                <w:rFonts w:hint="eastAsia" w:ascii="宋体" w:hAnsi="宋体" w:cs="宋体"/>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项目经理资格</w:t>
            </w:r>
            <w:r>
              <w:rPr>
                <w:rFonts w:hint="eastAsia" w:ascii="宋体" w:hAnsi="宋体" w:cs="宋体"/>
                <w:color w:val="auto"/>
                <w:kern w:val="0"/>
                <w:szCs w:val="21"/>
                <w:lang w:val="en-US" w:eastAsia="zh-CN"/>
              </w:rPr>
              <w:t>(</w:t>
            </w:r>
            <w:r>
              <w:rPr>
                <w:rFonts w:hint="eastAsia" w:ascii="宋体" w:hAnsi="宋体" w:cs="宋体"/>
                <w:color w:val="auto"/>
                <w:kern w:val="0"/>
                <w:szCs w:val="21"/>
              </w:rPr>
              <w:t>水利水电工程施工总承包</w:t>
            </w:r>
            <w:r>
              <w:rPr>
                <w:rFonts w:hint="eastAsia" w:ascii="宋体" w:hAnsi="宋体" w:cs="宋体"/>
                <w:color w:val="auto"/>
                <w:kern w:val="0"/>
                <w:szCs w:val="21"/>
                <w:lang w:eastAsia="zh-CN"/>
              </w:rPr>
              <w:t>资质提供）</w:t>
            </w:r>
            <w:r>
              <w:rPr>
                <w:rFonts w:hint="eastAsia" w:ascii="宋体" w:hAnsi="宋体" w:cs="宋体"/>
                <w:color w:val="auto"/>
                <w:kern w:val="0"/>
                <w:szCs w:val="21"/>
              </w:rPr>
              <w:t xml:space="preserve"> </w:t>
            </w:r>
          </w:p>
        </w:tc>
        <w:tc>
          <w:tcPr>
            <w:tcW w:w="5542" w:type="dxa"/>
            <w:gridSpan w:val="2"/>
            <w:vAlign w:val="center"/>
          </w:tcPr>
          <w:p>
            <w:pPr>
              <w:spacing w:line="240" w:lineRule="atLeast"/>
              <w:jc w:val="center"/>
              <w:rPr>
                <w:rFonts w:ascii="宋体" w:hAnsi="宋体" w:cs="宋体"/>
                <w:color w:val="auto"/>
                <w:kern w:val="0"/>
                <w:szCs w:val="21"/>
              </w:rPr>
            </w:pPr>
            <w:r>
              <w:rPr>
                <w:rFonts w:hint="eastAsia" w:ascii="宋体" w:hAnsi="宋体" w:cs="宋体"/>
                <w:color w:val="auto"/>
                <w:kern w:val="0"/>
                <w:szCs w:val="21"/>
              </w:rPr>
              <w:t>符合第二章</w:t>
            </w:r>
            <w:r>
              <w:rPr>
                <w:rFonts w:ascii="宋体" w:hAnsi="宋体" w:cs="宋体"/>
                <w:color w:val="auto"/>
                <w:kern w:val="0"/>
                <w:szCs w:val="21"/>
              </w:rPr>
              <w:t>“</w:t>
            </w:r>
            <w:r>
              <w:rPr>
                <w:rFonts w:hint="eastAsia" w:ascii="宋体" w:hAnsi="宋体" w:cs="宋体"/>
                <w:color w:val="auto"/>
                <w:kern w:val="0"/>
                <w:szCs w:val="21"/>
              </w:rPr>
              <w:t>投标人须知</w:t>
            </w:r>
            <w:r>
              <w:rPr>
                <w:rFonts w:ascii="宋体" w:hAnsi="宋体" w:cs="宋体"/>
                <w:color w:val="auto"/>
                <w:kern w:val="0"/>
                <w:szCs w:val="21"/>
              </w:rPr>
              <w:t>”</w:t>
            </w:r>
            <w:r>
              <w:rPr>
                <w:rFonts w:hint="eastAsia" w:ascii="宋体" w:hAnsi="宋体" w:cs="宋体"/>
                <w:color w:val="auto"/>
                <w:kern w:val="0"/>
                <w:szCs w:val="21"/>
              </w:rPr>
              <w:t>第</w:t>
            </w:r>
            <w:r>
              <w:rPr>
                <w:rFonts w:ascii="宋体" w:hAnsi="宋体" w:cs="宋体"/>
                <w:color w:val="auto"/>
                <w:kern w:val="0"/>
                <w:szCs w:val="21"/>
              </w:rPr>
              <w:t>1.4.1</w:t>
            </w:r>
            <w:r>
              <w:rPr>
                <w:rFonts w:hint="eastAsia" w:ascii="宋体" w:hAnsi="宋体" w:cs="宋体"/>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color w:val="auto"/>
              </w:rPr>
              <w:t>其他要求</w:t>
            </w:r>
          </w:p>
        </w:tc>
        <w:tc>
          <w:tcPr>
            <w:tcW w:w="5542" w:type="dxa"/>
            <w:gridSpan w:val="2"/>
            <w:vAlign w:val="center"/>
          </w:tcPr>
          <w:p>
            <w:pPr>
              <w:spacing w:line="240" w:lineRule="atLeast"/>
              <w:jc w:val="center"/>
              <w:rPr>
                <w:rFonts w:ascii="宋体" w:hAnsi="宋体" w:cs="宋体"/>
                <w:color w:val="auto"/>
                <w:kern w:val="0"/>
                <w:szCs w:val="21"/>
              </w:rPr>
            </w:pPr>
            <w:r>
              <w:rPr>
                <w:rFonts w:hint="eastAsia" w:ascii="宋体" w:hAnsi="宋体" w:cs="宋体"/>
                <w:color w:val="auto"/>
                <w:kern w:val="0"/>
                <w:szCs w:val="21"/>
              </w:rPr>
              <w:t>符合第二章</w:t>
            </w:r>
            <w:r>
              <w:rPr>
                <w:rFonts w:ascii="宋体" w:hAnsi="宋体" w:cs="宋体"/>
                <w:color w:val="auto"/>
                <w:kern w:val="0"/>
                <w:szCs w:val="21"/>
              </w:rPr>
              <w:t>“</w:t>
            </w:r>
            <w:r>
              <w:rPr>
                <w:rFonts w:hint="eastAsia" w:ascii="宋体" w:hAnsi="宋体" w:cs="宋体"/>
                <w:color w:val="auto"/>
                <w:kern w:val="0"/>
                <w:szCs w:val="21"/>
              </w:rPr>
              <w:t>投标人须知</w:t>
            </w:r>
            <w:r>
              <w:rPr>
                <w:rFonts w:ascii="宋体" w:hAnsi="宋体" w:cs="宋体"/>
                <w:color w:val="auto"/>
                <w:kern w:val="0"/>
                <w:szCs w:val="21"/>
              </w:rPr>
              <w:t>”</w:t>
            </w:r>
            <w:r>
              <w:rPr>
                <w:rFonts w:hint="eastAsia" w:ascii="宋体" w:hAnsi="宋体" w:cs="宋体"/>
                <w:color w:val="auto"/>
                <w:kern w:val="0"/>
                <w:szCs w:val="21"/>
              </w:rPr>
              <w:t>第</w:t>
            </w:r>
            <w:r>
              <w:rPr>
                <w:rFonts w:ascii="宋体" w:hAnsi="宋体" w:cs="宋体"/>
                <w:color w:val="auto"/>
                <w:kern w:val="0"/>
                <w:szCs w:val="21"/>
              </w:rPr>
              <w:t>1.4.1</w:t>
            </w:r>
            <w:r>
              <w:rPr>
                <w:rFonts w:hint="eastAsia" w:ascii="宋体" w:hAnsi="宋体" w:cs="宋体"/>
                <w:color w:val="auto"/>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restart"/>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2.1.3</w:t>
            </w:r>
          </w:p>
        </w:tc>
        <w:tc>
          <w:tcPr>
            <w:tcW w:w="520" w:type="dxa"/>
            <w:gridSpan w:val="2"/>
            <w:vMerge w:val="restart"/>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响</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应</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性</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评</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审</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标</w:t>
            </w:r>
          </w:p>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准</w:t>
            </w: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投标范围</w:t>
            </w:r>
          </w:p>
        </w:tc>
        <w:tc>
          <w:tcPr>
            <w:tcW w:w="5542" w:type="dxa"/>
            <w:gridSpan w:val="2"/>
            <w:vAlign w:val="center"/>
          </w:tcPr>
          <w:p>
            <w:pPr>
              <w:spacing w:line="240" w:lineRule="atLeast"/>
              <w:jc w:val="center"/>
              <w:rPr>
                <w:rFonts w:ascii="宋体" w:hAnsi="宋体"/>
                <w:color w:val="auto"/>
                <w:szCs w:val="21"/>
              </w:rPr>
            </w:pPr>
            <w:r>
              <w:rPr>
                <w:rFonts w:hint="eastAsia"/>
                <w:color w:val="auto"/>
                <w:szCs w:val="21"/>
              </w:rPr>
              <w:t>招标文件、工程量清单及施工图纸范围内的全部内容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工  期</w:t>
            </w:r>
          </w:p>
        </w:tc>
        <w:tc>
          <w:tcPr>
            <w:tcW w:w="5542" w:type="dxa"/>
            <w:gridSpan w:val="2"/>
            <w:vAlign w:val="center"/>
          </w:tcPr>
          <w:p>
            <w:pPr>
              <w:spacing w:line="240" w:lineRule="atLeast"/>
              <w:jc w:val="center"/>
              <w:rPr>
                <w:rFonts w:ascii="宋体" w:hAnsi="宋体"/>
                <w:color w:val="auto"/>
                <w:szCs w:val="21"/>
              </w:rPr>
            </w:pPr>
            <w:r>
              <w:rPr>
                <w:rFonts w:ascii="宋体" w:hAnsi="宋体" w:cs="宋体"/>
                <w:color w:val="auto"/>
                <w:szCs w:val="21"/>
              </w:rPr>
              <w:t>符合第二章“投标人须知</w:t>
            </w:r>
            <w:r>
              <w:rPr>
                <w:rFonts w:hint="eastAsia" w:ascii="宋体" w:hAnsi="宋体" w:cs="宋体"/>
                <w:color w:val="auto"/>
                <w:szCs w:val="21"/>
              </w:rPr>
              <w:t>前附表</w:t>
            </w:r>
            <w:r>
              <w:rPr>
                <w:rFonts w:ascii="宋体" w:hAnsi="宋体" w:cs="宋体"/>
                <w:color w:val="auto"/>
                <w:szCs w:val="21"/>
              </w:rPr>
              <w:t>”第</w:t>
            </w:r>
            <w:r>
              <w:rPr>
                <w:rFonts w:hint="eastAsia" w:ascii="宋体" w:hAnsi="宋体" w:cs="宋体"/>
                <w:color w:val="auto"/>
                <w:szCs w:val="21"/>
                <w:lang w:val="en-US" w:eastAsia="zh-CN"/>
              </w:rPr>
              <w:t>1.3.2</w:t>
            </w:r>
            <w:r>
              <w:rPr>
                <w:rFonts w:ascii="宋体" w:hAnsi="宋体" w:cs="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工程质量</w:t>
            </w:r>
          </w:p>
        </w:tc>
        <w:tc>
          <w:tcPr>
            <w:tcW w:w="5542" w:type="dxa"/>
            <w:gridSpan w:val="2"/>
            <w:vAlign w:val="center"/>
          </w:tcPr>
          <w:p>
            <w:pPr>
              <w:spacing w:line="240" w:lineRule="atLeast"/>
              <w:jc w:val="center"/>
              <w:rPr>
                <w:rFonts w:ascii="宋体" w:hAnsi="宋体"/>
                <w:color w:val="auto"/>
                <w:szCs w:val="21"/>
              </w:rPr>
            </w:pPr>
            <w:r>
              <w:rPr>
                <w:rFonts w:ascii="宋体" w:hAnsi="宋体" w:cs="宋体"/>
                <w:color w:val="auto"/>
                <w:szCs w:val="21"/>
              </w:rPr>
              <w:t>符合第二章“投标人须知</w:t>
            </w:r>
            <w:r>
              <w:rPr>
                <w:rFonts w:hint="eastAsia" w:ascii="宋体" w:hAnsi="宋体" w:cs="宋体"/>
                <w:color w:val="auto"/>
                <w:szCs w:val="21"/>
              </w:rPr>
              <w:t>前附表</w:t>
            </w:r>
            <w:r>
              <w:rPr>
                <w:rFonts w:ascii="宋体" w:hAnsi="宋体" w:cs="宋体"/>
                <w:color w:val="auto"/>
                <w:szCs w:val="21"/>
              </w:rPr>
              <w:t>”第</w:t>
            </w:r>
            <w:r>
              <w:rPr>
                <w:rFonts w:hint="eastAsia" w:ascii="宋体" w:hAnsi="宋体" w:cs="宋体"/>
                <w:color w:val="auto"/>
                <w:szCs w:val="21"/>
                <w:lang w:val="en-US" w:eastAsia="zh-CN"/>
              </w:rPr>
              <w:t>1.3.3</w:t>
            </w:r>
            <w:r>
              <w:rPr>
                <w:rFonts w:ascii="宋体" w:hAnsi="宋体" w:cs="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ascii="宋体" w:hAnsi="宋体" w:cs="宋体"/>
                <w:color w:val="auto"/>
                <w:kern w:val="0"/>
                <w:szCs w:val="21"/>
              </w:rPr>
              <w:t>投标报价</w:t>
            </w:r>
          </w:p>
        </w:tc>
        <w:tc>
          <w:tcPr>
            <w:tcW w:w="5542" w:type="dxa"/>
            <w:gridSpan w:val="2"/>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投标报价不超出招标控制价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宋体"/>
                <w:color w:val="auto"/>
                <w:kern w:val="0"/>
                <w:szCs w:val="21"/>
              </w:rPr>
            </w:pPr>
            <w:r>
              <w:rPr>
                <w:rFonts w:hint="eastAsia" w:ascii="宋体" w:hAnsi="宋体" w:cs="宋体"/>
                <w:color w:val="auto"/>
                <w:kern w:val="0"/>
                <w:szCs w:val="21"/>
              </w:rPr>
              <w:t>投标有效期</w:t>
            </w:r>
          </w:p>
        </w:tc>
        <w:tc>
          <w:tcPr>
            <w:tcW w:w="5542" w:type="dxa"/>
            <w:gridSpan w:val="2"/>
            <w:vAlign w:val="center"/>
          </w:tcPr>
          <w:p>
            <w:pPr>
              <w:spacing w:line="240" w:lineRule="atLeast"/>
              <w:jc w:val="center"/>
              <w:rPr>
                <w:rFonts w:ascii="宋体" w:hAnsi="宋体"/>
                <w:color w:val="auto"/>
                <w:szCs w:val="21"/>
              </w:rPr>
            </w:pPr>
            <w:r>
              <w:rPr>
                <w:rFonts w:ascii="宋体" w:hAnsi="宋体" w:cs="宋体"/>
                <w:color w:val="auto"/>
                <w:szCs w:val="21"/>
              </w:rPr>
              <w:t>符合第二章“投标人须知</w:t>
            </w:r>
            <w:r>
              <w:rPr>
                <w:rFonts w:hint="eastAsia" w:ascii="宋体" w:hAnsi="宋体" w:cs="宋体"/>
                <w:color w:val="auto"/>
                <w:szCs w:val="21"/>
              </w:rPr>
              <w:t>前附表</w:t>
            </w:r>
            <w:r>
              <w:rPr>
                <w:rFonts w:ascii="宋体" w:hAnsi="宋体" w:cs="宋体"/>
                <w:color w:val="auto"/>
                <w:szCs w:val="21"/>
              </w:rPr>
              <w:t>”第</w:t>
            </w:r>
            <w:r>
              <w:rPr>
                <w:rFonts w:hint="eastAsia" w:ascii="宋体" w:hAnsi="宋体" w:cs="宋体"/>
                <w:color w:val="auto"/>
                <w:szCs w:val="21"/>
                <w:lang w:val="en-US" w:eastAsia="zh-CN"/>
              </w:rPr>
              <w:t>3.3.1</w:t>
            </w:r>
            <w:r>
              <w:rPr>
                <w:rFonts w:ascii="宋体" w:hAnsi="宋体" w:cs="宋体"/>
                <w:color w:val="auto"/>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gridSpan w:val="2"/>
            <w:vMerge w:val="continue"/>
            <w:vAlign w:val="center"/>
          </w:tcPr>
          <w:p>
            <w:pPr>
              <w:autoSpaceDE w:val="0"/>
              <w:autoSpaceDN w:val="0"/>
              <w:adjustRightInd w:val="0"/>
              <w:spacing w:line="240" w:lineRule="atLeast"/>
              <w:jc w:val="center"/>
              <w:rPr>
                <w:rFonts w:ascii="宋体" w:hAnsi="宋体" w:cs="黑体"/>
                <w:color w:val="auto"/>
                <w:kern w:val="0"/>
                <w:szCs w:val="21"/>
              </w:rPr>
            </w:pPr>
          </w:p>
        </w:tc>
        <w:tc>
          <w:tcPr>
            <w:tcW w:w="520" w:type="dxa"/>
            <w:gridSpan w:val="2"/>
            <w:vMerge w:val="continue"/>
            <w:vAlign w:val="center"/>
          </w:tcPr>
          <w:p>
            <w:pPr>
              <w:autoSpaceDE w:val="0"/>
              <w:autoSpaceDN w:val="0"/>
              <w:adjustRightInd w:val="0"/>
              <w:spacing w:line="240" w:lineRule="atLeast"/>
              <w:jc w:val="center"/>
              <w:rPr>
                <w:rFonts w:ascii="宋体" w:hAnsi="宋体" w:cs="宋体"/>
                <w:color w:val="auto"/>
                <w:kern w:val="0"/>
                <w:szCs w:val="21"/>
              </w:rPr>
            </w:pPr>
          </w:p>
        </w:tc>
        <w:tc>
          <w:tcPr>
            <w:tcW w:w="2835" w:type="dxa"/>
            <w:gridSpan w:val="3"/>
            <w:vAlign w:val="center"/>
          </w:tcPr>
          <w:p>
            <w:pPr>
              <w:autoSpaceDE w:val="0"/>
              <w:autoSpaceDN w:val="0"/>
              <w:adjustRightInd w:val="0"/>
              <w:spacing w:line="240" w:lineRule="atLeast"/>
              <w:jc w:val="center"/>
              <w:rPr>
                <w:rFonts w:ascii="宋体" w:hAnsi="宋体" w:cs="仿宋_GB2312"/>
                <w:color w:val="auto"/>
                <w:kern w:val="0"/>
                <w:szCs w:val="21"/>
              </w:rPr>
            </w:pPr>
            <w:r>
              <w:rPr>
                <w:rFonts w:hint="eastAsia" w:ascii="宋体" w:hAnsi="宋体" w:cs="仿宋_GB2312"/>
                <w:color w:val="auto"/>
                <w:kern w:val="0"/>
                <w:szCs w:val="21"/>
              </w:rPr>
              <w:t>其他因素</w:t>
            </w:r>
          </w:p>
        </w:tc>
        <w:tc>
          <w:tcPr>
            <w:tcW w:w="5542" w:type="dxa"/>
            <w:gridSpan w:val="2"/>
            <w:vAlign w:val="center"/>
          </w:tcPr>
          <w:p>
            <w:pPr>
              <w:autoSpaceDE w:val="0"/>
              <w:autoSpaceDN w:val="0"/>
              <w:adjustRightInd w:val="0"/>
              <w:spacing w:line="240" w:lineRule="atLeast"/>
              <w:jc w:val="center"/>
              <w:rPr>
                <w:rFonts w:ascii="宋体" w:hAnsi="宋体" w:cs="仿宋_GB2312"/>
                <w:color w:val="auto"/>
                <w:kern w:val="0"/>
                <w:szCs w:val="21"/>
              </w:rPr>
            </w:pPr>
            <w:r>
              <w:rPr>
                <w:rFonts w:hint="eastAsia" w:ascii="宋体" w:hAnsi="宋体" w:cs="仿宋_GB2312"/>
                <w:color w:val="auto"/>
                <w:kern w:val="0"/>
                <w:szCs w:val="21"/>
              </w:rPr>
              <w:t>满足招标文件其他要求</w:t>
            </w:r>
          </w:p>
        </w:tc>
      </w:tr>
      <w:bookmarkEnd w:id="86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57"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b/>
                <w:color w:val="auto"/>
              </w:rPr>
            </w:pPr>
            <w:bookmarkStart w:id="862" w:name="_Toc434848806"/>
            <w:bookmarkStart w:id="863" w:name="_Toc297300746"/>
            <w:bookmarkStart w:id="864" w:name="_Toc519168332"/>
            <w:bookmarkStart w:id="865" w:name="_Toc27773"/>
            <w:bookmarkStart w:id="866" w:name="_Toc349217642"/>
            <w:bookmarkStart w:id="867" w:name="_Toc469668587"/>
            <w:bookmarkStart w:id="868" w:name="_Toc505330733"/>
            <w:bookmarkStart w:id="869" w:name="_Toc326826384"/>
            <w:bookmarkStart w:id="870" w:name="_Toc144974567"/>
            <w:bookmarkStart w:id="871" w:name="_Toc152042377"/>
            <w:bookmarkStart w:id="872" w:name="_Toc152045600"/>
            <w:r>
              <w:rPr>
                <w:rFonts w:ascii="宋体" w:hAnsi="宋体"/>
                <w:color w:val="auto"/>
              </w:rPr>
              <w:t>条款号</w:t>
            </w:r>
          </w:p>
        </w:tc>
        <w:tc>
          <w:tcPr>
            <w:tcW w:w="2726" w:type="dxa"/>
            <w:gridSpan w:val="5"/>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b/>
                <w:color w:val="auto"/>
              </w:rPr>
            </w:pPr>
            <w:r>
              <w:rPr>
                <w:rFonts w:ascii="宋体" w:hAnsi="宋体"/>
                <w:color w:val="auto"/>
              </w:rPr>
              <w:t>评审因素</w:t>
            </w:r>
          </w:p>
        </w:tc>
        <w:tc>
          <w:tcPr>
            <w:tcW w:w="6167" w:type="dxa"/>
            <w:gridSpan w:val="2"/>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b/>
                <w:color w:val="auto"/>
              </w:rPr>
            </w:pPr>
            <w:r>
              <w:rPr>
                <w:rFonts w:ascii="宋体" w:hAnsi="宋体"/>
                <w:color w:val="auto"/>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57"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b/>
                <w:color w:val="auto"/>
              </w:rPr>
            </w:pPr>
            <w:r>
              <w:rPr>
                <w:rFonts w:ascii="宋体" w:hAnsi="宋体"/>
                <w:color w:val="auto"/>
              </w:rPr>
              <w:t>2.2.1</w:t>
            </w:r>
          </w:p>
        </w:tc>
        <w:tc>
          <w:tcPr>
            <w:tcW w:w="2726" w:type="dxa"/>
            <w:gridSpan w:val="5"/>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color w:val="auto"/>
              </w:rPr>
            </w:pPr>
            <w:r>
              <w:rPr>
                <w:rFonts w:ascii="宋体" w:hAnsi="宋体"/>
                <w:color w:val="auto"/>
              </w:rPr>
              <w:t>分值构成</w:t>
            </w:r>
          </w:p>
          <w:p>
            <w:pPr>
              <w:spacing w:after="160" w:line="360" w:lineRule="exact"/>
              <w:jc w:val="center"/>
              <w:rPr>
                <w:rFonts w:ascii="宋体" w:hAnsi="宋体"/>
                <w:b/>
                <w:color w:val="auto"/>
              </w:rPr>
            </w:pPr>
            <w:r>
              <w:rPr>
                <w:rFonts w:ascii="宋体" w:hAnsi="宋体"/>
                <w:color w:val="auto"/>
              </w:rPr>
              <w:t>（总分100分）</w:t>
            </w:r>
          </w:p>
        </w:tc>
        <w:tc>
          <w:tcPr>
            <w:tcW w:w="6167" w:type="dxa"/>
            <w:gridSpan w:val="2"/>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宋体"/>
                <w:color w:val="auto"/>
              </w:rPr>
            </w:pPr>
            <w:r>
              <w:rPr>
                <w:rFonts w:ascii="宋体" w:hAnsi="宋体"/>
                <w:color w:val="auto"/>
              </w:rPr>
              <w:t>技术标的（施工组织设计）：</w:t>
            </w:r>
            <w:r>
              <w:rPr>
                <w:rFonts w:hint="eastAsia" w:ascii="宋体" w:hAnsi="宋体"/>
                <w:color w:val="auto"/>
                <w:u w:val="single"/>
              </w:rPr>
              <w:t>50</w:t>
            </w:r>
            <w:r>
              <w:rPr>
                <w:rFonts w:ascii="宋体" w:hAnsi="宋体"/>
                <w:color w:val="auto"/>
              </w:rPr>
              <w:t>分</w:t>
            </w:r>
          </w:p>
          <w:p>
            <w:pPr>
              <w:spacing w:after="160" w:line="360" w:lineRule="exact"/>
              <w:rPr>
                <w:rFonts w:ascii="宋体" w:hAnsi="宋体"/>
                <w:color w:val="auto"/>
              </w:rPr>
            </w:pPr>
            <w:r>
              <w:rPr>
                <w:rFonts w:ascii="宋体" w:hAnsi="宋体"/>
                <w:color w:val="auto"/>
              </w:rPr>
              <w:t>商务标的（投标报价）：</w:t>
            </w:r>
            <w:r>
              <w:rPr>
                <w:rFonts w:hint="eastAsia" w:ascii="宋体" w:hAnsi="宋体"/>
                <w:color w:val="auto"/>
                <w:u w:val="single"/>
              </w:rPr>
              <w:t>30</w:t>
            </w:r>
            <w:r>
              <w:rPr>
                <w:rFonts w:ascii="宋体" w:hAnsi="宋体"/>
                <w:color w:val="auto"/>
              </w:rPr>
              <w:t>分</w:t>
            </w:r>
          </w:p>
          <w:p>
            <w:pPr>
              <w:spacing w:after="160" w:line="360" w:lineRule="exact"/>
              <w:rPr>
                <w:rFonts w:ascii="宋体" w:hAnsi="宋体"/>
                <w:b/>
                <w:color w:val="auto"/>
              </w:rPr>
            </w:pPr>
            <w:r>
              <w:rPr>
                <w:rFonts w:ascii="宋体" w:hAnsi="宋体"/>
                <w:color w:val="auto"/>
              </w:rPr>
              <w:t>综合（信用）标的：</w:t>
            </w:r>
            <w:r>
              <w:rPr>
                <w:rFonts w:hint="eastAsia" w:ascii="宋体" w:hAnsi="宋体"/>
                <w:color w:val="auto"/>
                <w:u w:val="single"/>
              </w:rPr>
              <w:t>20</w:t>
            </w:r>
            <w:r>
              <w:rPr>
                <w:rFonts w:ascii="宋体" w:hAnsi="宋体"/>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90"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color w:val="auto"/>
              </w:rPr>
            </w:pPr>
            <w:r>
              <w:rPr>
                <w:rFonts w:ascii="宋体" w:hAnsi="宋体"/>
                <w:color w:val="auto"/>
              </w:rPr>
              <w:t>2.2.2</w:t>
            </w:r>
          </w:p>
        </w:tc>
        <w:tc>
          <w:tcPr>
            <w:tcW w:w="2726" w:type="dxa"/>
            <w:gridSpan w:val="5"/>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宋体"/>
                <w:color w:val="auto"/>
              </w:rPr>
            </w:pPr>
            <w:r>
              <w:rPr>
                <w:rFonts w:ascii="宋体" w:hAnsi="宋体"/>
                <w:color w:val="auto"/>
              </w:rPr>
              <w:t>评标基准价计算方法</w:t>
            </w:r>
          </w:p>
        </w:tc>
        <w:tc>
          <w:tcPr>
            <w:tcW w:w="6167" w:type="dxa"/>
            <w:gridSpan w:val="2"/>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rPr>
            </w:pPr>
            <w:r>
              <w:rPr>
                <w:rFonts w:hint="eastAsia" w:ascii="宋体" w:hAnsi="宋体"/>
                <w:color w:val="auto"/>
              </w:rPr>
              <w:t>评标基准价=招标控制价×50% + 有效投标人投标报价（招标控制价的95%—100%）的算术平均值×50%（当有效投标人为5个以上者（不含5个），则去掉一个最高和一个最低后的算术平均值）</w:t>
            </w:r>
          </w:p>
          <w:p>
            <w:pPr>
              <w:ind w:left="210" w:leftChars="100"/>
              <w:rPr>
                <w:rFonts w:ascii="宋体" w:hAnsi="宋体"/>
                <w:color w:val="auto"/>
              </w:rPr>
            </w:pPr>
            <w:r>
              <w:rPr>
                <w:rFonts w:hint="eastAsia" w:ascii="宋体" w:hAnsi="宋体"/>
                <w:color w:val="auto"/>
              </w:rPr>
              <w:t>当投标人的投标报价在招标控制价的95%—100%之外，该投标单位的投标报价不参与评标基准价的计算，但仍参与投标报价评分的计算。</w:t>
            </w:r>
          </w:p>
          <w:p>
            <w:pPr>
              <w:ind w:left="210" w:leftChars="100"/>
              <w:rPr>
                <w:rFonts w:ascii="宋体" w:hAnsi="宋体"/>
                <w:color w:val="auto"/>
              </w:rPr>
            </w:pPr>
            <w:r>
              <w:rPr>
                <w:rFonts w:hint="eastAsia" w:ascii="宋体" w:hAnsi="宋体"/>
                <w:color w:val="auto"/>
              </w:rPr>
              <w:t>如果所有投标人报价均不在招标控制价的95%—100%之内，则以招标控制价作为评标基准价。</w:t>
            </w:r>
          </w:p>
          <w:p>
            <w:pPr>
              <w:widowControl/>
              <w:spacing w:line="360" w:lineRule="exact"/>
              <w:jc w:val="left"/>
              <w:rPr>
                <w:rFonts w:ascii="宋体" w:hAnsi="宋体"/>
                <w:color w:val="auto"/>
              </w:rPr>
            </w:pPr>
            <w:r>
              <w:rPr>
                <w:rFonts w:hint="eastAsia" w:ascii="宋体" w:hAnsi="宋体"/>
                <w:color w:val="auto"/>
              </w:rPr>
              <w:t>（以上提到的95%—100%范围，均含95%及100%）</w:t>
            </w:r>
          </w:p>
          <w:p>
            <w:pPr>
              <w:widowControl/>
              <w:spacing w:line="360" w:lineRule="exact"/>
              <w:jc w:val="left"/>
              <w:rPr>
                <w:rFonts w:ascii="宋体" w:hAnsi="宋体" w:cs="宋体"/>
                <w:color w:val="auto"/>
                <w:kern w:val="0"/>
                <w:sz w:val="24"/>
                <w:szCs w:val="24"/>
              </w:rPr>
            </w:pPr>
            <w:r>
              <w:rPr>
                <w:rFonts w:hint="eastAsia" w:ascii="宋体" w:hAnsi="宋体" w:cs="宋体"/>
                <w:bCs/>
                <w:color w:val="auto"/>
                <w:szCs w:val="24"/>
              </w:rPr>
              <w:t>投标人投标报价不得高于招标控制价，否则按废标处理。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904"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color w:val="auto"/>
                <w:sz w:val="24"/>
                <w:szCs w:val="24"/>
              </w:rPr>
            </w:pPr>
            <w:r>
              <w:rPr>
                <w:rFonts w:ascii="宋体" w:hAnsi="宋体"/>
                <w:color w:val="auto"/>
              </w:rPr>
              <w:t>2.2.3</w:t>
            </w:r>
          </w:p>
        </w:tc>
        <w:tc>
          <w:tcPr>
            <w:tcW w:w="2726" w:type="dxa"/>
            <w:gridSpan w:val="5"/>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宋体"/>
                <w:color w:val="auto"/>
              </w:rPr>
            </w:pPr>
            <w:r>
              <w:rPr>
                <w:rFonts w:ascii="宋体" w:hAnsi="宋体"/>
                <w:color w:val="auto"/>
              </w:rPr>
              <w:t>投标报价的偏差率</w:t>
            </w:r>
            <w:r>
              <w:rPr>
                <w:rFonts w:hint="eastAsia" w:ascii="宋体" w:hAnsi="宋体"/>
                <w:color w:val="auto"/>
              </w:rPr>
              <w:t xml:space="preserve">      </w:t>
            </w:r>
            <w:r>
              <w:rPr>
                <w:rFonts w:ascii="宋体" w:hAnsi="宋体"/>
                <w:color w:val="auto"/>
              </w:rPr>
              <w:t>计算公式</w:t>
            </w:r>
          </w:p>
        </w:tc>
        <w:tc>
          <w:tcPr>
            <w:tcW w:w="6167" w:type="dxa"/>
            <w:gridSpan w:val="2"/>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宋体"/>
                <w:color w:val="auto"/>
                <w:sz w:val="24"/>
                <w:szCs w:val="24"/>
              </w:rPr>
            </w:pPr>
            <w:r>
              <w:rPr>
                <w:rFonts w:hint="eastAsia" w:ascii="宋体" w:hAnsi="宋体"/>
                <w:color w:val="auto"/>
                <w:spacing w:val="-6"/>
              </w:rPr>
              <w:t>偏差率</w:t>
            </w:r>
            <w:r>
              <w:rPr>
                <w:rFonts w:ascii="宋体" w:hAnsi="宋体"/>
                <w:color w:val="auto"/>
                <w:spacing w:val="-6"/>
              </w:rPr>
              <w:t>=100%</w:t>
            </w:r>
            <w:r>
              <w:rPr>
                <w:rFonts w:hint="eastAsia" w:ascii="宋体" w:hAnsi="宋体"/>
                <w:color w:val="auto"/>
                <w:spacing w:val="-6"/>
              </w:rPr>
              <w:t>×（投标人报价－</w:t>
            </w:r>
            <w:r>
              <w:rPr>
                <w:rFonts w:hint="eastAsia" w:ascii="宋体" w:hAnsi="宋体"/>
                <w:color w:val="auto"/>
              </w:rPr>
              <w:t>评标基准值</w:t>
            </w:r>
            <w:r>
              <w:rPr>
                <w:rFonts w:hint="eastAsia" w:ascii="宋体" w:hAnsi="宋体"/>
                <w:color w:val="auto"/>
                <w:spacing w:val="-6"/>
              </w:rPr>
              <w:t>）</w:t>
            </w:r>
            <w:r>
              <w:rPr>
                <w:rFonts w:ascii="宋体" w:hAnsi="宋体"/>
                <w:color w:val="auto"/>
                <w:spacing w:val="-6"/>
              </w:rPr>
              <w:t>/</w:t>
            </w:r>
            <w:r>
              <w:rPr>
                <w:rFonts w:hint="eastAsia" w:ascii="宋体" w:hAnsi="宋体"/>
                <w:color w:val="auto"/>
              </w:rPr>
              <w:t>评标基准值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23"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color w:val="auto"/>
              </w:rPr>
            </w:pPr>
            <w:r>
              <w:rPr>
                <w:rFonts w:ascii="宋体" w:hAnsi="宋体"/>
                <w:color w:val="auto"/>
              </w:rPr>
              <w:t>条款号</w:t>
            </w:r>
          </w:p>
        </w:tc>
        <w:tc>
          <w:tcPr>
            <w:tcW w:w="2726" w:type="dxa"/>
            <w:gridSpan w:val="5"/>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color w:val="auto"/>
              </w:rPr>
            </w:pPr>
            <w:r>
              <w:rPr>
                <w:rFonts w:ascii="宋体" w:hAnsi="宋体"/>
                <w:color w:val="auto"/>
              </w:rPr>
              <w:t>评分因素</w:t>
            </w:r>
          </w:p>
        </w:tc>
        <w:tc>
          <w:tcPr>
            <w:tcW w:w="6167" w:type="dxa"/>
            <w:gridSpan w:val="2"/>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color w:val="auto"/>
              </w:rPr>
            </w:pPr>
            <w:r>
              <w:rPr>
                <w:rFonts w:ascii="宋体" w:hAnsi="宋体"/>
                <w:color w:val="auto"/>
              </w:rPr>
              <w:t>参考评分标准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18" w:hRule="atLeast"/>
          <w:jc w:val="center"/>
        </w:trPr>
        <w:tc>
          <w:tcPr>
            <w:tcW w:w="1047" w:type="dxa"/>
            <w:vMerge w:val="restart"/>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color w:val="auto"/>
              </w:rPr>
            </w:pPr>
            <w:r>
              <w:rPr>
                <w:rFonts w:ascii="宋体" w:hAnsi="宋体"/>
                <w:color w:val="auto"/>
              </w:rPr>
              <w:t>2.2.4</w:t>
            </w:r>
          </w:p>
          <w:p>
            <w:pPr>
              <w:spacing w:after="160" w:line="360" w:lineRule="exact"/>
              <w:jc w:val="center"/>
              <w:rPr>
                <w:rFonts w:ascii="宋体" w:hAnsi="宋体"/>
                <w:color w:val="auto"/>
              </w:rPr>
            </w:pPr>
            <w:r>
              <w:rPr>
                <w:rFonts w:ascii="宋体" w:hAnsi="宋体"/>
                <w:color w:val="auto"/>
              </w:rPr>
              <w:t>(1)</w:t>
            </w:r>
          </w:p>
        </w:tc>
        <w:tc>
          <w:tcPr>
            <w:tcW w:w="1096" w:type="dxa"/>
            <w:gridSpan w:val="4"/>
            <w:vMerge w:val="restart"/>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ascii="宋体" w:hAnsi="宋体"/>
                <w:color w:val="auto"/>
              </w:rPr>
            </w:pPr>
            <w:r>
              <w:rPr>
                <w:rFonts w:ascii="宋体" w:hAnsi="宋体"/>
                <w:color w:val="auto"/>
              </w:rPr>
              <w:t>技术标</w:t>
            </w:r>
          </w:p>
          <w:p>
            <w:pPr>
              <w:spacing w:after="160" w:line="360" w:lineRule="exact"/>
              <w:jc w:val="center"/>
              <w:rPr>
                <w:rFonts w:ascii="宋体" w:hAnsi="宋体"/>
                <w:color w:val="auto"/>
              </w:rPr>
            </w:pPr>
            <w:r>
              <w:rPr>
                <w:rFonts w:ascii="宋体" w:hAnsi="宋体"/>
                <w:color w:val="auto"/>
              </w:rPr>
              <w:t>评分</w:t>
            </w:r>
          </w:p>
          <w:p>
            <w:pPr>
              <w:spacing w:after="160" w:line="360" w:lineRule="exact"/>
              <w:jc w:val="center"/>
              <w:rPr>
                <w:rFonts w:ascii="宋体" w:hAnsi="宋体"/>
                <w:color w:val="auto"/>
              </w:rPr>
            </w:pPr>
            <w:r>
              <w:rPr>
                <w:rFonts w:ascii="宋体" w:hAnsi="宋体"/>
                <w:color w:val="auto"/>
              </w:rPr>
              <w:t>标准</w:t>
            </w:r>
          </w:p>
          <w:p>
            <w:pPr>
              <w:spacing w:after="160" w:line="360" w:lineRule="exact"/>
              <w:jc w:val="center"/>
              <w:rPr>
                <w:rFonts w:ascii="宋体" w:hAnsi="宋体"/>
                <w:color w:val="auto"/>
              </w:rPr>
            </w:pPr>
            <w:r>
              <w:rPr>
                <w:rFonts w:hint="eastAsia" w:ascii="宋体" w:hAnsi="宋体"/>
                <w:color w:val="auto"/>
              </w:rPr>
              <w:t>50</w:t>
            </w:r>
            <w:r>
              <w:rPr>
                <w:rFonts w:ascii="宋体" w:hAnsi="宋体"/>
                <w:color w:val="auto"/>
              </w:rPr>
              <w:t>分</w:t>
            </w:r>
          </w:p>
        </w:tc>
        <w:tc>
          <w:tcPr>
            <w:tcW w:w="2268"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160" w:line="300" w:lineRule="exact"/>
              <w:rPr>
                <w:rFonts w:hAnsi="宋体"/>
                <w:color w:val="auto"/>
              </w:rPr>
            </w:pPr>
            <w:r>
              <w:rPr>
                <w:rFonts w:hint="eastAsia" w:ascii="宋体" w:hAnsi="宋体"/>
                <w:color w:val="auto"/>
              </w:rPr>
              <w:t>（1）内容完整性和编制水平（4分）</w:t>
            </w:r>
          </w:p>
        </w:tc>
        <w:tc>
          <w:tcPr>
            <w:tcW w:w="5529" w:type="dxa"/>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宋体"/>
                <w:color w:val="auto"/>
              </w:rPr>
            </w:pPr>
            <w:r>
              <w:rPr>
                <w:rFonts w:hint="eastAsia" w:ascii="宋体" w:hAnsi="宋体"/>
                <w:color w:val="auto"/>
              </w:rPr>
              <w:t>根据内容完整性，得0-2分；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637"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5529" w:type="dxa"/>
            <w:tcBorders>
              <w:top w:val="single" w:color="auto" w:sz="4" w:space="0"/>
              <w:left w:val="single" w:color="auto" w:sz="4" w:space="0"/>
              <w:bottom w:val="single" w:color="auto" w:sz="4" w:space="0"/>
              <w:right w:val="single" w:color="auto" w:sz="4" w:space="0"/>
            </w:tcBorders>
            <w:vAlign w:val="center"/>
          </w:tcPr>
          <w:p>
            <w:pPr>
              <w:spacing w:after="160" w:line="360" w:lineRule="exact"/>
              <w:rPr>
                <w:rFonts w:ascii="宋体" w:hAnsi="宋体"/>
                <w:color w:val="auto"/>
              </w:rPr>
            </w:pPr>
            <w:r>
              <w:rPr>
                <w:rFonts w:hint="eastAsia" w:ascii="宋体" w:hAnsi="宋体"/>
                <w:color w:val="auto"/>
              </w:rPr>
              <w:t xml:space="preserve">根据编制水平，得0-2分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1006"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hAnsi="宋体"/>
                <w:color w:val="auto"/>
              </w:rPr>
            </w:pPr>
            <w:r>
              <w:rPr>
                <w:rFonts w:hint="eastAsia" w:ascii="宋体" w:hAnsi="宋体"/>
                <w:color w:val="auto"/>
                <w:szCs w:val="21"/>
              </w:rPr>
              <w:t>（2）项目管理机构设置（3分）</w:t>
            </w:r>
          </w:p>
        </w:tc>
        <w:tc>
          <w:tcPr>
            <w:tcW w:w="5529" w:type="dxa"/>
            <w:tcBorders>
              <w:top w:val="single" w:color="auto" w:sz="4" w:space="0"/>
              <w:left w:val="single" w:color="auto" w:sz="4" w:space="0"/>
              <w:right w:val="single" w:color="auto" w:sz="4" w:space="0"/>
            </w:tcBorders>
            <w:vAlign w:val="center"/>
          </w:tcPr>
          <w:p>
            <w:pPr>
              <w:spacing w:after="160" w:line="360" w:lineRule="exact"/>
              <w:rPr>
                <w:rFonts w:ascii="宋体" w:hAnsi="宋体"/>
                <w:color w:val="auto"/>
              </w:rPr>
            </w:pPr>
            <w:r>
              <w:rPr>
                <w:rFonts w:hint="eastAsia" w:ascii="宋体" w:hAnsi="宋体"/>
                <w:color w:val="auto"/>
                <w:szCs w:val="21"/>
              </w:rPr>
              <w:t>针对本项目的施工方案和技术措施，根据项目管理机构设置的合理性、科学性，得0-3分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850"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after="160" w:line="360" w:lineRule="exact"/>
              <w:jc w:val="center"/>
              <w:rPr>
                <w:rFonts w:hAnsi="宋体"/>
                <w:color w:val="auto"/>
              </w:rPr>
            </w:pPr>
            <w:r>
              <w:rPr>
                <w:rFonts w:hint="eastAsia" w:ascii="宋体" w:hAnsi="宋体"/>
                <w:color w:val="auto"/>
                <w:szCs w:val="21"/>
              </w:rPr>
              <w:t>（3）施工方案与技术措施（8分）</w:t>
            </w:r>
          </w:p>
        </w:tc>
        <w:tc>
          <w:tcPr>
            <w:tcW w:w="5529" w:type="dxa"/>
            <w:tcBorders>
              <w:top w:val="single" w:color="auto" w:sz="4" w:space="0"/>
              <w:left w:val="single" w:color="auto" w:sz="4" w:space="0"/>
              <w:right w:val="single" w:color="auto" w:sz="4" w:space="0"/>
            </w:tcBorders>
            <w:vAlign w:val="center"/>
          </w:tcPr>
          <w:p>
            <w:pPr>
              <w:spacing w:after="160" w:line="360" w:lineRule="exact"/>
              <w:rPr>
                <w:rFonts w:ascii="宋体" w:hAnsi="宋体"/>
                <w:color w:val="auto"/>
              </w:rPr>
            </w:pPr>
            <w:r>
              <w:rPr>
                <w:rFonts w:hint="eastAsia" w:ascii="宋体" w:hAnsi="宋体"/>
                <w:color w:val="auto"/>
              </w:rPr>
              <w:t>根据施工方案的合理性、科学性，得0-4分；</w:t>
            </w:r>
          </w:p>
          <w:p>
            <w:pPr>
              <w:spacing w:after="160" w:line="360" w:lineRule="exact"/>
              <w:rPr>
                <w:rFonts w:hAnsi="宋体"/>
                <w:color w:val="auto"/>
              </w:rPr>
            </w:pPr>
            <w:r>
              <w:rPr>
                <w:rFonts w:hint="eastAsia" w:ascii="宋体" w:hAnsi="宋体"/>
                <w:color w:val="auto"/>
              </w:rPr>
              <w:t>根据技术措施的合理性、可操作性，得0-4分。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69"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tcBorders>
              <w:left w:val="single" w:color="auto" w:sz="4" w:space="0"/>
              <w:right w:val="single" w:color="auto" w:sz="4" w:space="0"/>
            </w:tcBorders>
            <w:vAlign w:val="center"/>
          </w:tcPr>
          <w:p>
            <w:pPr>
              <w:spacing w:after="160" w:line="360" w:lineRule="exact"/>
              <w:jc w:val="center"/>
              <w:rPr>
                <w:rFonts w:hAnsi="宋体"/>
                <w:color w:val="auto"/>
              </w:rPr>
            </w:pPr>
            <w:r>
              <w:rPr>
                <w:rFonts w:hint="eastAsia" w:ascii="宋体" w:hAnsi="宋体"/>
                <w:color w:val="auto"/>
                <w:szCs w:val="21"/>
              </w:rPr>
              <w:t>（4）质量管理体系与措施（5分）</w:t>
            </w:r>
          </w:p>
        </w:tc>
        <w:tc>
          <w:tcPr>
            <w:tcW w:w="5529" w:type="dxa"/>
            <w:tcBorders>
              <w:left w:val="single" w:color="auto" w:sz="4" w:space="0"/>
              <w:right w:val="single" w:color="auto" w:sz="4" w:space="0"/>
            </w:tcBorders>
            <w:vAlign w:val="center"/>
          </w:tcPr>
          <w:p>
            <w:pPr>
              <w:spacing w:after="160" w:line="360" w:lineRule="exact"/>
              <w:rPr>
                <w:rFonts w:hAnsi="宋体"/>
                <w:color w:val="auto"/>
              </w:rPr>
            </w:pPr>
            <w:r>
              <w:rPr>
                <w:rFonts w:hint="eastAsia" w:hAnsi="宋体"/>
                <w:color w:val="auto"/>
              </w:rPr>
              <w:t>根据质量管理体系与措施的完整性、可行性得0-5分。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26"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tcBorders>
              <w:left w:val="single" w:color="auto" w:sz="4" w:space="0"/>
              <w:right w:val="single" w:color="auto" w:sz="4" w:space="0"/>
            </w:tcBorders>
            <w:vAlign w:val="center"/>
          </w:tcPr>
          <w:p>
            <w:pPr>
              <w:spacing w:after="160" w:line="360" w:lineRule="exact"/>
              <w:jc w:val="center"/>
              <w:rPr>
                <w:rFonts w:hAnsi="宋体"/>
                <w:color w:val="auto"/>
              </w:rPr>
            </w:pPr>
            <w:r>
              <w:rPr>
                <w:rFonts w:hint="eastAsia" w:ascii="宋体" w:hAnsi="宋体"/>
                <w:color w:val="auto"/>
                <w:szCs w:val="21"/>
              </w:rPr>
              <w:t>（5）安全管理体系与措施（5分）</w:t>
            </w:r>
          </w:p>
        </w:tc>
        <w:tc>
          <w:tcPr>
            <w:tcW w:w="5529" w:type="dxa"/>
            <w:tcBorders>
              <w:left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根据安全管理体系与措施的针对性、合理性得0-5分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65"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tcBorders>
              <w:left w:val="single" w:color="auto" w:sz="4" w:space="0"/>
              <w:right w:val="single" w:color="auto" w:sz="4" w:space="0"/>
            </w:tcBorders>
            <w:vAlign w:val="center"/>
          </w:tcPr>
          <w:p>
            <w:pPr>
              <w:pStyle w:val="133"/>
              <w:spacing w:after="160" w:line="360" w:lineRule="exact"/>
              <w:rPr>
                <w:rFonts w:hAnsi="Times New Roman"/>
                <w:color w:val="auto"/>
              </w:rPr>
            </w:pPr>
            <w:r>
              <w:rPr>
                <w:rFonts w:hint="eastAsia"/>
                <w:color w:val="auto"/>
                <w:sz w:val="21"/>
                <w:szCs w:val="21"/>
              </w:rPr>
              <w:t>（6）环境保护管理体系与措施（5分）</w:t>
            </w:r>
          </w:p>
        </w:tc>
        <w:tc>
          <w:tcPr>
            <w:tcW w:w="5529" w:type="dxa"/>
            <w:tcBorders>
              <w:left w:val="single" w:color="auto" w:sz="4" w:space="0"/>
              <w:right w:val="single" w:color="auto" w:sz="4" w:space="0"/>
            </w:tcBorders>
            <w:vAlign w:val="center"/>
          </w:tcPr>
          <w:p>
            <w:pPr>
              <w:pStyle w:val="133"/>
              <w:spacing w:after="160" w:line="360" w:lineRule="exact"/>
              <w:jc w:val="both"/>
              <w:rPr>
                <w:rFonts w:hAnsi="Times New Roman"/>
                <w:color w:val="auto"/>
              </w:rPr>
            </w:pPr>
            <w:r>
              <w:rPr>
                <w:rFonts w:hint="eastAsia"/>
                <w:color w:val="auto"/>
                <w:sz w:val="21"/>
                <w:szCs w:val="21"/>
              </w:rPr>
              <w:t>根据环境保护管理体系与措施的针对性、合理性，得0-5分。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35"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tcBorders>
              <w:left w:val="single" w:color="auto" w:sz="4" w:space="0"/>
              <w:right w:val="single" w:color="auto" w:sz="4" w:space="0"/>
            </w:tcBorders>
            <w:vAlign w:val="center"/>
          </w:tcPr>
          <w:p>
            <w:pPr>
              <w:pStyle w:val="133"/>
              <w:spacing w:after="160" w:line="360" w:lineRule="exact"/>
              <w:rPr>
                <w:rFonts w:hAnsi="Times New Roman"/>
                <w:color w:val="auto"/>
              </w:rPr>
            </w:pPr>
            <w:r>
              <w:rPr>
                <w:rFonts w:hint="eastAsia"/>
                <w:color w:val="auto"/>
                <w:sz w:val="21"/>
                <w:szCs w:val="21"/>
              </w:rPr>
              <w:t>（7）工程进度计划与措施（5分）</w:t>
            </w:r>
          </w:p>
        </w:tc>
        <w:tc>
          <w:tcPr>
            <w:tcW w:w="5529" w:type="dxa"/>
            <w:tcBorders>
              <w:left w:val="single" w:color="auto" w:sz="4" w:space="0"/>
              <w:right w:val="single" w:color="auto" w:sz="4" w:space="0"/>
            </w:tcBorders>
            <w:vAlign w:val="center"/>
          </w:tcPr>
          <w:p>
            <w:pPr>
              <w:pStyle w:val="133"/>
              <w:spacing w:after="160" w:line="360" w:lineRule="exact"/>
              <w:jc w:val="both"/>
              <w:rPr>
                <w:rFonts w:hAnsi="Times New Roman"/>
                <w:color w:val="auto"/>
              </w:rPr>
            </w:pPr>
            <w:r>
              <w:rPr>
                <w:rFonts w:hint="eastAsia"/>
                <w:color w:val="auto"/>
                <w:sz w:val="21"/>
                <w:szCs w:val="21"/>
              </w:rPr>
              <w:t>根据工程进度计划合理性和措施的针对性、合理性，得0-5分。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633"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tcBorders>
              <w:left w:val="single" w:color="auto" w:sz="4" w:space="0"/>
              <w:right w:val="single" w:color="auto" w:sz="4" w:space="0"/>
            </w:tcBorders>
            <w:vAlign w:val="center"/>
          </w:tcPr>
          <w:p>
            <w:pPr>
              <w:tabs>
                <w:tab w:val="left" w:pos="-138"/>
                <w:tab w:val="left" w:pos="145"/>
                <w:tab w:val="left" w:pos="429"/>
                <w:tab w:val="left" w:pos="571"/>
              </w:tabs>
              <w:spacing w:line="360" w:lineRule="auto"/>
              <w:rPr>
                <w:rFonts w:ascii="宋体" w:hAnsi="宋体" w:cs="宋体"/>
                <w:color w:val="auto"/>
                <w:szCs w:val="21"/>
              </w:rPr>
            </w:pPr>
            <w:r>
              <w:rPr>
                <w:rFonts w:hint="eastAsia" w:ascii="宋体" w:hAnsi="宋体" w:cs="宋体"/>
                <w:color w:val="auto"/>
                <w:szCs w:val="21"/>
              </w:rPr>
              <w:t>（8）资源配备计划</w:t>
            </w:r>
          </w:p>
          <w:p>
            <w:pPr>
              <w:tabs>
                <w:tab w:val="left" w:pos="-138"/>
                <w:tab w:val="left" w:pos="145"/>
                <w:tab w:val="left" w:pos="429"/>
                <w:tab w:val="left" w:pos="571"/>
              </w:tabs>
              <w:spacing w:line="360" w:lineRule="auto"/>
              <w:rPr>
                <w:rFonts w:ascii="宋体" w:hAnsi="宋体" w:cs="宋体"/>
                <w:color w:val="auto"/>
                <w:szCs w:val="21"/>
              </w:rPr>
            </w:pPr>
            <w:r>
              <w:rPr>
                <w:rFonts w:hint="eastAsia" w:ascii="宋体" w:hAnsi="宋体"/>
                <w:color w:val="auto"/>
                <w:szCs w:val="21"/>
              </w:rPr>
              <w:t>（3分）</w:t>
            </w:r>
          </w:p>
        </w:tc>
        <w:tc>
          <w:tcPr>
            <w:tcW w:w="5529" w:type="dxa"/>
            <w:tcBorders>
              <w:left w:val="single" w:color="auto" w:sz="4" w:space="0"/>
              <w:right w:val="single" w:color="auto" w:sz="4" w:space="0"/>
            </w:tcBorders>
            <w:vAlign w:val="center"/>
          </w:tcPr>
          <w:p>
            <w:pPr>
              <w:pStyle w:val="133"/>
              <w:spacing w:after="160" w:line="360" w:lineRule="exact"/>
              <w:jc w:val="both"/>
              <w:rPr>
                <w:rFonts w:hAnsi="Times New Roman"/>
                <w:color w:val="auto"/>
              </w:rPr>
            </w:pPr>
            <w:r>
              <w:rPr>
                <w:rFonts w:hint="eastAsia"/>
                <w:color w:val="auto"/>
                <w:sz w:val="21"/>
                <w:szCs w:val="21"/>
              </w:rPr>
              <w:t>根据</w:t>
            </w:r>
            <w:r>
              <w:rPr>
                <w:color w:val="auto"/>
                <w:sz w:val="21"/>
                <w:szCs w:val="21"/>
              </w:rPr>
              <w:t>资源配备计划</w:t>
            </w:r>
            <w:r>
              <w:rPr>
                <w:rFonts w:hint="eastAsia"/>
                <w:color w:val="auto"/>
                <w:sz w:val="21"/>
                <w:szCs w:val="21"/>
              </w:rPr>
              <w:t>、</w:t>
            </w:r>
            <w:r>
              <w:rPr>
                <w:color w:val="auto"/>
                <w:sz w:val="21"/>
                <w:szCs w:val="21"/>
              </w:rPr>
              <w:t>劳动力配备计划的合理性</w:t>
            </w:r>
            <w:r>
              <w:rPr>
                <w:rFonts w:hint="eastAsia"/>
                <w:color w:val="auto"/>
                <w:sz w:val="21"/>
                <w:szCs w:val="21"/>
              </w:rPr>
              <w:t>，</w:t>
            </w:r>
            <w:r>
              <w:rPr>
                <w:color w:val="auto"/>
                <w:sz w:val="21"/>
                <w:szCs w:val="21"/>
              </w:rPr>
              <w:t>得</w:t>
            </w:r>
            <w:r>
              <w:rPr>
                <w:rFonts w:hint="eastAsia"/>
                <w:color w:val="auto"/>
                <w:sz w:val="21"/>
                <w:szCs w:val="21"/>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61"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tcBorders>
              <w:left w:val="single" w:color="auto" w:sz="4" w:space="0"/>
              <w:bottom w:val="single" w:color="auto" w:sz="4" w:space="0"/>
              <w:right w:val="single" w:color="auto" w:sz="4" w:space="0"/>
            </w:tcBorders>
            <w:vAlign w:val="center"/>
          </w:tcPr>
          <w:p>
            <w:pPr>
              <w:tabs>
                <w:tab w:val="left" w:pos="-138"/>
                <w:tab w:val="left" w:pos="145"/>
                <w:tab w:val="left" w:pos="429"/>
                <w:tab w:val="left" w:pos="571"/>
              </w:tabs>
              <w:spacing w:line="360" w:lineRule="auto"/>
              <w:jc w:val="center"/>
              <w:rPr>
                <w:rFonts w:ascii="宋体" w:hAnsi="宋体"/>
                <w:color w:val="auto"/>
                <w:szCs w:val="21"/>
              </w:rPr>
            </w:pPr>
            <w:r>
              <w:rPr>
                <w:rFonts w:hint="eastAsia" w:ascii="宋体" w:hAnsi="宋体"/>
                <w:color w:val="auto"/>
                <w:szCs w:val="21"/>
              </w:rPr>
              <w:t>（9）应急事故处理措施及新工艺、新技术（5分）</w:t>
            </w:r>
          </w:p>
        </w:tc>
        <w:tc>
          <w:tcPr>
            <w:tcW w:w="5529" w:type="dxa"/>
            <w:tcBorders>
              <w:left w:val="single" w:color="auto" w:sz="4" w:space="0"/>
              <w:right w:val="single" w:color="auto" w:sz="4" w:space="0"/>
            </w:tcBorders>
            <w:vAlign w:val="center"/>
          </w:tcPr>
          <w:p>
            <w:pPr>
              <w:spacing w:after="160" w:line="360" w:lineRule="exact"/>
              <w:rPr>
                <w:rFonts w:ascii="宋体" w:hAnsi="宋体"/>
                <w:color w:val="auto"/>
              </w:rPr>
            </w:pPr>
            <w:r>
              <w:rPr>
                <w:rFonts w:hint="eastAsia" w:ascii="宋体" w:hAnsi="宋体"/>
                <w:color w:val="auto"/>
              </w:rPr>
              <w:t>根据应急事故处理的针对性、合理性，得0-2分；</w:t>
            </w:r>
          </w:p>
          <w:p>
            <w:pPr>
              <w:spacing w:after="160" w:line="360" w:lineRule="exact"/>
              <w:rPr>
                <w:rFonts w:hAnsi="宋体"/>
                <w:color w:val="auto"/>
              </w:rPr>
            </w:pPr>
            <w:r>
              <w:rPr>
                <w:rFonts w:hint="eastAsia" w:ascii="宋体" w:hAnsi="宋体"/>
                <w:color w:val="auto"/>
              </w:rPr>
              <w:t>使用新工艺、新技术的得0-3分，未使用的不得分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756"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vAlign w:val="center"/>
          </w:tcPr>
          <w:p>
            <w:pPr>
              <w:tabs>
                <w:tab w:val="left" w:pos="-138"/>
                <w:tab w:val="left" w:pos="145"/>
                <w:tab w:val="left" w:pos="429"/>
                <w:tab w:val="left" w:pos="571"/>
              </w:tabs>
              <w:spacing w:line="360" w:lineRule="auto"/>
              <w:rPr>
                <w:rFonts w:ascii="宋体" w:hAnsi="宋体"/>
                <w:color w:val="auto"/>
                <w:szCs w:val="21"/>
              </w:rPr>
            </w:pPr>
            <w:r>
              <w:rPr>
                <w:rFonts w:hint="eastAsia"/>
                <w:color w:val="auto"/>
              </w:rPr>
              <w:t>（10）</w:t>
            </w:r>
            <w:r>
              <w:rPr>
                <w:rFonts w:hint="eastAsia" w:ascii="宋体" w:hAnsi="宋体"/>
                <w:color w:val="auto"/>
                <w:szCs w:val="21"/>
              </w:rPr>
              <w:t>施工总进度图</w:t>
            </w:r>
          </w:p>
          <w:p>
            <w:pPr>
              <w:tabs>
                <w:tab w:val="left" w:pos="-138"/>
                <w:tab w:val="left" w:pos="145"/>
                <w:tab w:val="left" w:pos="429"/>
                <w:tab w:val="left" w:pos="571"/>
              </w:tabs>
              <w:spacing w:line="360" w:lineRule="auto"/>
              <w:rPr>
                <w:rFonts w:ascii="宋体" w:hAnsi="宋体"/>
                <w:color w:val="auto"/>
                <w:szCs w:val="21"/>
              </w:rPr>
            </w:pPr>
            <w:r>
              <w:rPr>
                <w:rFonts w:hint="eastAsia" w:ascii="宋体" w:hAnsi="宋体"/>
                <w:color w:val="auto"/>
                <w:szCs w:val="21"/>
              </w:rPr>
              <w:t>（2分）</w:t>
            </w:r>
          </w:p>
        </w:tc>
        <w:tc>
          <w:tcPr>
            <w:tcW w:w="5529" w:type="dxa"/>
            <w:vAlign w:val="center"/>
          </w:tcPr>
          <w:p>
            <w:pPr>
              <w:pStyle w:val="133"/>
              <w:spacing w:after="160" w:line="360" w:lineRule="exact"/>
              <w:jc w:val="both"/>
              <w:rPr>
                <w:rFonts w:hAnsi="Times New Roman"/>
                <w:color w:val="auto"/>
              </w:rPr>
            </w:pPr>
            <w:r>
              <w:rPr>
                <w:rFonts w:hint="eastAsia"/>
                <w:color w:val="auto"/>
                <w:sz w:val="21"/>
                <w:szCs w:val="21"/>
              </w:rPr>
              <w:t>有施工总进度图且合理的得0-2分，反之则不得分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641"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vAlign w:val="center"/>
          </w:tcPr>
          <w:p>
            <w:pPr>
              <w:spacing w:after="160" w:line="360" w:lineRule="exact"/>
              <w:rPr>
                <w:rFonts w:ascii="宋体" w:hAnsi="宋体"/>
                <w:color w:val="auto"/>
                <w:szCs w:val="21"/>
              </w:rPr>
            </w:pPr>
            <w:r>
              <w:rPr>
                <w:rFonts w:hint="eastAsia" w:ascii="宋体" w:hAnsi="宋体"/>
                <w:color w:val="auto"/>
                <w:szCs w:val="21"/>
              </w:rPr>
              <w:t>（11）施工总平面布置 （3分）</w:t>
            </w:r>
          </w:p>
        </w:tc>
        <w:tc>
          <w:tcPr>
            <w:tcW w:w="5529" w:type="dxa"/>
            <w:vAlign w:val="center"/>
          </w:tcPr>
          <w:p>
            <w:pPr>
              <w:spacing w:after="160" w:line="360" w:lineRule="exact"/>
              <w:rPr>
                <w:rFonts w:hAnsi="宋体"/>
                <w:color w:val="auto"/>
              </w:rPr>
            </w:pPr>
            <w:r>
              <w:rPr>
                <w:rFonts w:hint="eastAsia" w:ascii="宋体" w:hAnsi="宋体"/>
                <w:color w:val="auto"/>
              </w:rPr>
              <w:t>根据施工总平面布置图布置的合理性得0-3分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18"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1096" w:type="dxa"/>
            <w:gridSpan w:val="4"/>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68" w:type="dxa"/>
            <w:gridSpan w:val="2"/>
            <w:vAlign w:val="center"/>
          </w:tcPr>
          <w:p>
            <w:pPr>
              <w:rPr>
                <w:color w:val="auto"/>
              </w:rPr>
            </w:pPr>
            <w:r>
              <w:rPr>
                <w:rFonts w:hint="eastAsia"/>
                <w:color w:val="auto"/>
              </w:rPr>
              <w:t>（12）企业具备信息化管理平台（2分）</w:t>
            </w:r>
          </w:p>
        </w:tc>
        <w:tc>
          <w:tcPr>
            <w:tcW w:w="5529" w:type="dxa"/>
            <w:vAlign w:val="center"/>
          </w:tcPr>
          <w:p>
            <w:pPr>
              <w:spacing w:after="160" w:line="360" w:lineRule="exact"/>
              <w:rPr>
                <w:rFonts w:ascii="宋体" w:hAnsi="宋体"/>
                <w:color w:val="auto"/>
              </w:rPr>
            </w:pPr>
            <w:r>
              <w:rPr>
                <w:rFonts w:hint="eastAsia" w:ascii="宋体" w:hAnsi="宋体" w:cs="宋体"/>
                <w:color w:val="auto"/>
                <w:kern w:val="1"/>
                <w:szCs w:val="21"/>
              </w:rPr>
              <w:t>根据企业具备信息化管理平台，能够使工程管理者对现场实施监控和数据处理的得0-2分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27" w:hRule="atLeast"/>
          <w:jc w:val="center"/>
        </w:trPr>
        <w:tc>
          <w:tcPr>
            <w:tcW w:w="9940" w:type="dxa"/>
            <w:gridSpan w:val="8"/>
            <w:vAlign w:val="center"/>
          </w:tcPr>
          <w:p>
            <w:pPr>
              <w:autoSpaceDE w:val="0"/>
              <w:autoSpaceDN w:val="0"/>
              <w:spacing w:before="50" w:after="160" w:line="360" w:lineRule="exact"/>
              <w:ind w:right="97"/>
              <w:rPr>
                <w:rFonts w:hAnsi="宋体"/>
                <w:color w:val="auto"/>
              </w:rPr>
            </w:pPr>
            <w:r>
              <w:rPr>
                <w:rFonts w:ascii="宋体" w:hAnsi="宋体"/>
                <w:b/>
                <w:color w:val="auto"/>
              </w:rPr>
              <w:t>以上项目若有缺项的，该项为0分；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933" w:hRule="atLeast"/>
          <w:jc w:val="center"/>
        </w:trPr>
        <w:tc>
          <w:tcPr>
            <w:tcW w:w="1213" w:type="dxa"/>
            <w:gridSpan w:val="3"/>
            <w:vAlign w:val="center"/>
          </w:tcPr>
          <w:p>
            <w:pPr>
              <w:spacing w:after="160" w:line="360" w:lineRule="exact"/>
              <w:jc w:val="center"/>
              <w:rPr>
                <w:rFonts w:ascii="宋体" w:hAnsi="宋体"/>
                <w:color w:val="auto"/>
              </w:rPr>
            </w:pPr>
            <w:r>
              <w:rPr>
                <w:rFonts w:ascii="宋体" w:hAnsi="宋体"/>
                <w:color w:val="auto"/>
              </w:rPr>
              <w:t>2.2.4</w:t>
            </w:r>
          </w:p>
          <w:p>
            <w:pPr>
              <w:spacing w:after="160" w:line="360" w:lineRule="exact"/>
              <w:jc w:val="center"/>
              <w:rPr>
                <w:rFonts w:hAnsi="宋体"/>
                <w:color w:val="auto"/>
              </w:rPr>
            </w:pPr>
            <w:r>
              <w:rPr>
                <w:rFonts w:ascii="宋体" w:hAnsi="宋体"/>
                <w:color w:val="auto"/>
              </w:rPr>
              <w:t>(2)</w:t>
            </w:r>
          </w:p>
        </w:tc>
        <w:tc>
          <w:tcPr>
            <w:tcW w:w="930" w:type="dxa"/>
            <w:gridSpan w:val="2"/>
            <w:vAlign w:val="center"/>
          </w:tcPr>
          <w:p>
            <w:pPr>
              <w:spacing w:after="160" w:line="360" w:lineRule="exact"/>
              <w:rPr>
                <w:rFonts w:hAnsi="宋体"/>
                <w:color w:val="auto"/>
              </w:rPr>
            </w:pPr>
            <w:r>
              <w:rPr>
                <w:rFonts w:ascii="宋体" w:hAnsi="宋体"/>
                <w:color w:val="auto"/>
              </w:rPr>
              <w:t>商务标</w:t>
            </w:r>
            <w:r>
              <w:rPr>
                <w:rFonts w:hint="eastAsia" w:ascii="宋体" w:hAnsi="宋体"/>
                <w:color w:val="auto"/>
              </w:rPr>
              <w:t>(30分)</w:t>
            </w:r>
          </w:p>
        </w:tc>
        <w:tc>
          <w:tcPr>
            <w:tcW w:w="2268" w:type="dxa"/>
            <w:gridSpan w:val="2"/>
            <w:vAlign w:val="center"/>
          </w:tcPr>
          <w:p>
            <w:pPr>
              <w:widowControl/>
              <w:snapToGrid w:val="0"/>
              <w:spacing w:after="200" w:line="360" w:lineRule="exact"/>
              <w:jc w:val="center"/>
              <w:rPr>
                <w:rFonts w:ascii="宋体" w:hAnsi="宋体"/>
                <w:color w:val="auto"/>
              </w:rPr>
            </w:pPr>
            <w:r>
              <w:rPr>
                <w:rFonts w:hint="eastAsia" w:ascii="宋体" w:hAnsi="宋体"/>
                <w:color w:val="auto"/>
              </w:rPr>
              <w:t>投标报价评分标准</w:t>
            </w:r>
          </w:p>
          <w:p>
            <w:pPr>
              <w:spacing w:after="160" w:line="360" w:lineRule="exact"/>
              <w:jc w:val="center"/>
              <w:rPr>
                <w:rFonts w:hAnsi="宋体"/>
                <w:color w:val="auto"/>
              </w:rPr>
            </w:pPr>
          </w:p>
        </w:tc>
        <w:tc>
          <w:tcPr>
            <w:tcW w:w="5529" w:type="dxa"/>
            <w:vAlign w:val="center"/>
          </w:tcPr>
          <w:p>
            <w:pPr>
              <w:autoSpaceDE w:val="0"/>
              <w:autoSpaceDN w:val="0"/>
              <w:spacing w:after="160" w:line="360" w:lineRule="exact"/>
              <w:rPr>
                <w:rFonts w:hAnsi="宋体"/>
                <w:b/>
                <w:color w:val="auto"/>
              </w:rPr>
            </w:pPr>
            <w:r>
              <w:rPr>
                <w:rFonts w:hint="eastAsia" w:ascii="新宋体" w:hAnsi="新宋体" w:eastAsia="新宋体"/>
                <w:color w:val="auto"/>
                <w:kern w:val="0"/>
                <w:szCs w:val="21"/>
              </w:rPr>
              <w:t>以评标基准价为基准，投标人的投标报价与评标基准价相等者得基本分（25分），投标报价高于评标基准价的，按每高于评标基准价1%在基本分（25分）的基础上扣1分的比例进行扣分，扣完为止；投标报价低于评标基准价的，按每低于评标基准价1%在基本分（25分）的基础上加1分的比例进行加分，最多加5分；如果低于评标基准值5%以上的每再低于1%在满分（30分）的基础上扣2分的比例进行扣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933" w:hRule="atLeast"/>
          <w:jc w:val="center"/>
        </w:trPr>
        <w:tc>
          <w:tcPr>
            <w:tcW w:w="1213" w:type="dxa"/>
            <w:gridSpan w:val="3"/>
            <w:vMerge w:val="restart"/>
            <w:vAlign w:val="center"/>
          </w:tcPr>
          <w:p>
            <w:pPr>
              <w:spacing w:after="160" w:line="360" w:lineRule="exact"/>
              <w:jc w:val="center"/>
              <w:rPr>
                <w:rFonts w:ascii="宋体" w:hAnsi="宋体"/>
                <w:color w:val="auto"/>
              </w:rPr>
            </w:pPr>
            <w:r>
              <w:rPr>
                <w:rFonts w:ascii="宋体" w:hAnsi="宋体"/>
                <w:color w:val="auto"/>
              </w:rPr>
              <w:t>2.2.4</w:t>
            </w:r>
          </w:p>
          <w:p>
            <w:pPr>
              <w:spacing w:after="160" w:line="360" w:lineRule="exact"/>
              <w:jc w:val="center"/>
              <w:rPr>
                <w:rFonts w:hAnsi="宋体"/>
                <w:color w:val="auto"/>
              </w:rPr>
            </w:pPr>
            <w:r>
              <w:rPr>
                <w:rFonts w:ascii="宋体" w:hAnsi="宋体"/>
                <w:color w:val="auto"/>
              </w:rPr>
              <w:t>(3)</w:t>
            </w:r>
          </w:p>
        </w:tc>
        <w:tc>
          <w:tcPr>
            <w:tcW w:w="930" w:type="dxa"/>
            <w:gridSpan w:val="2"/>
            <w:vMerge w:val="restart"/>
            <w:vAlign w:val="center"/>
          </w:tcPr>
          <w:p>
            <w:pPr>
              <w:spacing w:after="160" w:line="360" w:lineRule="exact"/>
              <w:rPr>
                <w:rFonts w:ascii="宋体" w:hAnsi="宋体"/>
                <w:color w:val="auto"/>
              </w:rPr>
            </w:pPr>
            <w:r>
              <w:rPr>
                <w:rFonts w:hint="eastAsia" w:ascii="宋体" w:hAnsi="宋体"/>
                <w:color w:val="auto"/>
              </w:rPr>
              <w:t>综合信用（20分）</w:t>
            </w:r>
          </w:p>
        </w:tc>
        <w:tc>
          <w:tcPr>
            <w:tcW w:w="2268" w:type="dxa"/>
            <w:gridSpan w:val="2"/>
            <w:vAlign w:val="center"/>
          </w:tcPr>
          <w:p>
            <w:pPr>
              <w:autoSpaceDE w:val="0"/>
              <w:autoSpaceDN w:val="0"/>
              <w:spacing w:before="50" w:after="160" w:line="360" w:lineRule="exact"/>
              <w:ind w:right="97"/>
              <w:jc w:val="center"/>
              <w:rPr>
                <w:rFonts w:hAnsi="宋体"/>
                <w:color w:val="auto"/>
              </w:rPr>
            </w:pPr>
            <w:r>
              <w:rPr>
                <w:rFonts w:ascii="宋体" w:hAnsi="宋体"/>
                <w:color w:val="auto"/>
              </w:rPr>
              <w:t>项目经理</w:t>
            </w:r>
            <w:r>
              <w:rPr>
                <w:rFonts w:hint="eastAsia" w:ascii="宋体" w:hAnsi="宋体"/>
                <w:color w:val="auto"/>
                <w:lang w:eastAsia="zh-CN"/>
              </w:rPr>
              <w:t>（</w:t>
            </w:r>
            <w:r>
              <w:rPr>
                <w:rFonts w:hint="eastAsia" w:ascii="宋体" w:hAnsi="宋体"/>
                <w:color w:val="auto"/>
                <w:lang w:val="en-US" w:eastAsia="zh-CN"/>
              </w:rPr>
              <w:t>项目负责人</w:t>
            </w:r>
            <w:r>
              <w:rPr>
                <w:rFonts w:hint="eastAsia" w:ascii="宋体" w:hAnsi="宋体"/>
                <w:color w:val="auto"/>
                <w:lang w:eastAsia="zh-CN"/>
              </w:rPr>
              <w:t>）</w:t>
            </w:r>
            <w:r>
              <w:rPr>
                <w:rFonts w:ascii="宋体" w:hAnsi="宋体"/>
                <w:color w:val="auto"/>
              </w:rPr>
              <w:t>业绩（</w:t>
            </w:r>
            <w:r>
              <w:rPr>
                <w:rFonts w:hint="eastAsia" w:ascii="宋体" w:hAnsi="宋体"/>
                <w:color w:val="auto"/>
              </w:rPr>
              <w:t>2</w:t>
            </w:r>
            <w:r>
              <w:rPr>
                <w:rFonts w:ascii="宋体" w:hAnsi="宋体"/>
                <w:color w:val="auto"/>
              </w:rPr>
              <w:t>分）</w:t>
            </w:r>
          </w:p>
        </w:tc>
        <w:tc>
          <w:tcPr>
            <w:tcW w:w="5529" w:type="dxa"/>
            <w:vAlign w:val="center"/>
          </w:tcPr>
          <w:p>
            <w:pPr>
              <w:spacing w:after="160" w:line="400" w:lineRule="exact"/>
              <w:rPr>
                <w:rFonts w:hAnsi="宋体"/>
                <w:color w:val="auto"/>
              </w:rPr>
            </w:pPr>
            <w:r>
              <w:rPr>
                <w:rFonts w:hAnsi="宋体"/>
                <w:color w:val="auto"/>
              </w:rPr>
              <w:t>拟派项目经理</w:t>
            </w:r>
            <w:r>
              <w:rPr>
                <w:rFonts w:hint="eastAsia" w:hAnsi="宋体"/>
                <w:color w:val="auto"/>
                <w:lang w:eastAsia="zh-CN"/>
              </w:rPr>
              <w:t>（</w:t>
            </w:r>
            <w:r>
              <w:rPr>
                <w:rFonts w:hint="eastAsia" w:hAnsi="宋体"/>
                <w:color w:val="auto"/>
                <w:lang w:val="en-US" w:eastAsia="zh-CN"/>
              </w:rPr>
              <w:t>项目负责人</w:t>
            </w:r>
            <w:r>
              <w:rPr>
                <w:rFonts w:hint="eastAsia" w:hAnsi="宋体"/>
                <w:color w:val="auto"/>
                <w:lang w:eastAsia="zh-CN"/>
              </w:rPr>
              <w:t>）</w:t>
            </w:r>
            <w:r>
              <w:rPr>
                <w:rFonts w:hAnsi="宋体"/>
                <w:color w:val="auto"/>
              </w:rPr>
              <w:t>201</w:t>
            </w:r>
            <w:r>
              <w:rPr>
                <w:rFonts w:hint="eastAsia" w:hAnsi="宋体"/>
                <w:color w:val="auto"/>
                <w:lang w:val="en-US" w:eastAsia="zh-CN"/>
              </w:rPr>
              <w:t>7</w:t>
            </w:r>
            <w:r>
              <w:rPr>
                <w:rFonts w:hAnsi="宋体"/>
                <w:color w:val="auto"/>
              </w:rPr>
              <w:t>年1月1日以来承担过类似</w:t>
            </w:r>
            <w:r>
              <w:rPr>
                <w:rFonts w:hint="eastAsia" w:hAnsi="宋体"/>
                <w:color w:val="auto"/>
                <w:lang w:val="en-US" w:eastAsia="zh-CN"/>
              </w:rPr>
              <w:t>项目</w:t>
            </w:r>
            <w:r>
              <w:rPr>
                <w:rFonts w:hint="eastAsia" w:hAnsi="宋体"/>
                <w:color w:val="auto"/>
              </w:rPr>
              <w:t>，</w:t>
            </w:r>
            <w:r>
              <w:rPr>
                <w:rFonts w:hAnsi="宋体"/>
                <w:color w:val="auto"/>
              </w:rPr>
              <w:t>项目业绩一项得</w:t>
            </w:r>
            <w:r>
              <w:rPr>
                <w:rFonts w:hint="eastAsia" w:hAnsi="宋体"/>
                <w:color w:val="auto"/>
              </w:rPr>
              <w:t>1</w:t>
            </w:r>
            <w:r>
              <w:rPr>
                <w:rFonts w:hAnsi="宋体"/>
                <w:color w:val="auto"/>
              </w:rPr>
              <w:t>分，该项最高</w:t>
            </w:r>
            <w:r>
              <w:rPr>
                <w:rFonts w:hint="eastAsia" w:hAnsi="宋体"/>
                <w:color w:val="auto"/>
              </w:rPr>
              <w:t>2</w:t>
            </w:r>
            <w:r>
              <w:rPr>
                <w:rFonts w:hAnsi="宋体"/>
                <w:color w:val="auto"/>
              </w:rPr>
              <w:t>分。(需提供相关部门官方网站公示的中标公示网页版、中标通知书及合同。）时间以合同签订日期为准。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933" w:hRule="atLeast"/>
          <w:jc w:val="center"/>
        </w:trPr>
        <w:tc>
          <w:tcPr>
            <w:tcW w:w="1213" w:type="dxa"/>
            <w:gridSpan w:val="3"/>
            <w:vMerge w:val="continue"/>
            <w:vAlign w:val="center"/>
          </w:tcPr>
          <w:p>
            <w:pPr>
              <w:rPr>
                <w:color w:val="auto"/>
              </w:rPr>
            </w:pPr>
          </w:p>
        </w:tc>
        <w:tc>
          <w:tcPr>
            <w:tcW w:w="930" w:type="dxa"/>
            <w:gridSpan w:val="2"/>
            <w:vMerge w:val="continue"/>
            <w:vAlign w:val="center"/>
          </w:tcPr>
          <w:p>
            <w:pPr>
              <w:rPr>
                <w:color w:val="auto"/>
              </w:rPr>
            </w:pPr>
          </w:p>
        </w:tc>
        <w:tc>
          <w:tcPr>
            <w:tcW w:w="2268" w:type="dxa"/>
            <w:gridSpan w:val="2"/>
            <w:vAlign w:val="center"/>
          </w:tcPr>
          <w:p>
            <w:pPr>
              <w:spacing w:after="160" w:line="360" w:lineRule="exact"/>
              <w:jc w:val="center"/>
              <w:rPr>
                <w:rFonts w:ascii="宋体" w:hAnsi="宋体"/>
                <w:color w:val="auto"/>
              </w:rPr>
            </w:pPr>
            <w:r>
              <w:rPr>
                <w:rFonts w:ascii="宋体" w:hAnsi="宋体"/>
                <w:color w:val="auto"/>
              </w:rPr>
              <w:t>企业业绩</w:t>
            </w:r>
          </w:p>
          <w:p>
            <w:pPr>
              <w:spacing w:after="160" w:line="360" w:lineRule="exact"/>
              <w:jc w:val="center"/>
              <w:rPr>
                <w:rFonts w:hAnsi="宋体"/>
                <w:color w:val="auto"/>
              </w:rPr>
            </w:pPr>
            <w:r>
              <w:rPr>
                <w:rFonts w:ascii="宋体" w:hAnsi="宋体"/>
                <w:color w:val="auto"/>
              </w:rPr>
              <w:t>（</w:t>
            </w:r>
            <w:r>
              <w:rPr>
                <w:rFonts w:hint="eastAsia" w:ascii="宋体" w:hAnsi="宋体"/>
                <w:color w:val="auto"/>
              </w:rPr>
              <w:t>3</w:t>
            </w:r>
            <w:r>
              <w:rPr>
                <w:rFonts w:ascii="宋体" w:hAnsi="宋体"/>
                <w:color w:val="auto"/>
              </w:rPr>
              <w:t>分）</w:t>
            </w:r>
          </w:p>
        </w:tc>
        <w:tc>
          <w:tcPr>
            <w:tcW w:w="5529" w:type="dxa"/>
          </w:tcPr>
          <w:p>
            <w:pPr>
              <w:spacing w:after="160" w:line="400" w:lineRule="exact"/>
              <w:rPr>
                <w:rFonts w:hAnsi="宋体"/>
                <w:color w:val="auto"/>
              </w:rPr>
            </w:pPr>
            <w:r>
              <w:rPr>
                <w:rFonts w:hAnsi="宋体"/>
                <w:color w:val="auto"/>
              </w:rPr>
              <w:t>投标人201</w:t>
            </w:r>
            <w:r>
              <w:rPr>
                <w:rFonts w:hint="eastAsia" w:hAnsi="宋体"/>
                <w:color w:val="auto"/>
              </w:rPr>
              <w:t>6</w:t>
            </w:r>
            <w:r>
              <w:rPr>
                <w:rFonts w:hAnsi="宋体"/>
                <w:color w:val="auto"/>
              </w:rPr>
              <w:t>年1月1日以来承担过项目类似项目业绩一项得</w:t>
            </w:r>
            <w:r>
              <w:rPr>
                <w:rFonts w:hint="eastAsia" w:hAnsi="宋体"/>
                <w:color w:val="auto"/>
              </w:rPr>
              <w:t>1</w:t>
            </w:r>
            <w:r>
              <w:rPr>
                <w:rFonts w:hAnsi="宋体"/>
                <w:color w:val="auto"/>
              </w:rPr>
              <w:t>分，该项最高得</w:t>
            </w:r>
            <w:r>
              <w:rPr>
                <w:rFonts w:hint="eastAsia" w:hAnsi="宋体"/>
                <w:color w:val="auto"/>
              </w:rPr>
              <w:t>3</w:t>
            </w:r>
            <w:r>
              <w:rPr>
                <w:rFonts w:hAnsi="宋体"/>
                <w:color w:val="auto"/>
              </w:rPr>
              <w:t>分。(需提供相关部门官方网站公示的中标公示网页版、中标通知书及合同</w:t>
            </w:r>
            <w:r>
              <w:rPr>
                <w:rFonts w:hint="eastAsia" w:hAnsi="宋体"/>
                <w:color w:val="auto"/>
              </w:rPr>
              <w:t>、竣工验收报告</w:t>
            </w:r>
            <w:r>
              <w:rPr>
                <w:rFonts w:hAnsi="宋体"/>
                <w:color w:val="auto"/>
              </w:rPr>
              <w:t>。）时间以合同签订日期为准。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240" w:hRule="atLeast"/>
          <w:jc w:val="center"/>
        </w:trPr>
        <w:tc>
          <w:tcPr>
            <w:tcW w:w="1213" w:type="dxa"/>
            <w:gridSpan w:val="3"/>
            <w:vMerge w:val="continue"/>
            <w:vAlign w:val="center"/>
          </w:tcPr>
          <w:p>
            <w:pPr>
              <w:rPr>
                <w:color w:val="auto"/>
              </w:rPr>
            </w:pPr>
          </w:p>
        </w:tc>
        <w:tc>
          <w:tcPr>
            <w:tcW w:w="930" w:type="dxa"/>
            <w:gridSpan w:val="2"/>
            <w:vMerge w:val="continue"/>
            <w:vAlign w:val="center"/>
          </w:tcPr>
          <w:p>
            <w:pPr>
              <w:rPr>
                <w:color w:val="auto"/>
              </w:rPr>
            </w:pPr>
          </w:p>
        </w:tc>
        <w:tc>
          <w:tcPr>
            <w:tcW w:w="2268" w:type="dxa"/>
            <w:gridSpan w:val="2"/>
            <w:vAlign w:val="center"/>
          </w:tcPr>
          <w:p>
            <w:pPr>
              <w:pStyle w:val="133"/>
              <w:spacing w:after="160"/>
              <w:jc w:val="center"/>
              <w:rPr>
                <w:rFonts w:hAnsi="Times New Roman"/>
                <w:color w:val="auto"/>
              </w:rPr>
            </w:pPr>
            <w:r>
              <w:rPr>
                <w:rFonts w:hint="eastAsia" w:ascii="Calibri" w:hAnsi="宋体"/>
                <w:color w:val="auto"/>
                <w:kern w:val="2"/>
                <w:sz w:val="21"/>
              </w:rPr>
              <w:t>服务承诺（10分）</w:t>
            </w:r>
          </w:p>
        </w:tc>
        <w:tc>
          <w:tcPr>
            <w:tcW w:w="5529" w:type="dxa"/>
            <w:vMerge w:val="restart"/>
            <w:vAlign w:val="center"/>
          </w:tcPr>
          <w:p>
            <w:pPr>
              <w:spacing w:line="360" w:lineRule="auto"/>
              <w:jc w:val="left"/>
              <w:rPr>
                <w:rFonts w:hint="eastAsia" w:ascii="宋体" w:hAnsi="宋体"/>
                <w:color w:val="auto"/>
                <w:kern w:val="0"/>
                <w:szCs w:val="21"/>
              </w:rPr>
            </w:pPr>
            <w:r>
              <w:rPr>
                <w:rFonts w:hint="eastAsia" w:ascii="宋体" w:hAnsi="宋体"/>
                <w:color w:val="auto"/>
                <w:kern w:val="0"/>
                <w:szCs w:val="21"/>
              </w:rPr>
              <w:t>（1）在施工期间不拖欠农民工工资的承诺，评委根据承诺的实质性情况，在0-</w:t>
            </w:r>
            <w:r>
              <w:rPr>
                <w:rFonts w:hint="eastAsia" w:ascii="宋体" w:hAnsi="宋体"/>
                <w:color w:val="auto"/>
                <w:kern w:val="0"/>
                <w:szCs w:val="21"/>
                <w:lang w:val="en-US" w:eastAsia="zh-CN"/>
              </w:rPr>
              <w:t>2</w:t>
            </w:r>
            <w:r>
              <w:rPr>
                <w:rFonts w:hint="eastAsia" w:ascii="宋体" w:hAnsi="宋体"/>
                <w:color w:val="auto"/>
                <w:kern w:val="0"/>
                <w:szCs w:val="21"/>
              </w:rPr>
              <w:t>分范围内酌情赋分。0-</w:t>
            </w:r>
            <w:r>
              <w:rPr>
                <w:rFonts w:hint="eastAsia" w:ascii="宋体" w:hAnsi="宋体"/>
                <w:color w:val="auto"/>
                <w:kern w:val="0"/>
                <w:szCs w:val="21"/>
                <w:lang w:val="en-US" w:eastAsia="zh-CN"/>
              </w:rPr>
              <w:t>2</w:t>
            </w:r>
            <w:r>
              <w:rPr>
                <w:rFonts w:hint="eastAsia" w:ascii="宋体" w:hAnsi="宋体"/>
                <w:color w:val="auto"/>
                <w:kern w:val="0"/>
                <w:szCs w:val="21"/>
              </w:rPr>
              <w:t>分</w:t>
            </w:r>
          </w:p>
          <w:p>
            <w:pPr>
              <w:spacing w:line="360" w:lineRule="auto"/>
              <w:jc w:val="left"/>
              <w:rPr>
                <w:rFonts w:hint="eastAsia" w:ascii="宋体" w:hAnsi="宋体"/>
                <w:color w:val="auto"/>
                <w:kern w:val="0"/>
                <w:szCs w:val="21"/>
              </w:rPr>
            </w:pPr>
            <w:r>
              <w:rPr>
                <w:rFonts w:hint="eastAsia" w:ascii="宋体" w:hAnsi="宋体"/>
                <w:color w:val="auto"/>
                <w:kern w:val="0"/>
                <w:szCs w:val="21"/>
              </w:rPr>
              <w:t>（2）工程质量保修期内的优惠及服务承诺，评委根据承诺的实质性情况，在0-</w:t>
            </w:r>
            <w:r>
              <w:rPr>
                <w:rFonts w:hint="eastAsia" w:ascii="宋体" w:hAnsi="宋体"/>
                <w:color w:val="auto"/>
                <w:kern w:val="0"/>
                <w:szCs w:val="21"/>
                <w:lang w:val="en-US" w:eastAsia="zh-CN"/>
              </w:rPr>
              <w:t>2</w:t>
            </w:r>
            <w:r>
              <w:rPr>
                <w:rFonts w:hint="eastAsia" w:ascii="宋体" w:hAnsi="宋体"/>
                <w:color w:val="auto"/>
                <w:kern w:val="0"/>
                <w:szCs w:val="21"/>
              </w:rPr>
              <w:t>分范围内酌情赋分。0-</w:t>
            </w:r>
            <w:r>
              <w:rPr>
                <w:rFonts w:hint="eastAsia" w:ascii="宋体" w:hAnsi="宋体"/>
                <w:color w:val="auto"/>
                <w:kern w:val="0"/>
                <w:szCs w:val="21"/>
                <w:lang w:val="en-US" w:eastAsia="zh-CN"/>
              </w:rPr>
              <w:t>2</w:t>
            </w:r>
            <w:r>
              <w:rPr>
                <w:rFonts w:hint="eastAsia" w:ascii="宋体" w:hAnsi="宋体"/>
                <w:color w:val="auto"/>
                <w:kern w:val="0"/>
                <w:szCs w:val="21"/>
              </w:rPr>
              <w:t>分</w:t>
            </w:r>
          </w:p>
          <w:p>
            <w:pPr>
              <w:spacing w:line="360" w:lineRule="auto"/>
              <w:jc w:val="left"/>
              <w:rPr>
                <w:rFonts w:hint="eastAsia" w:ascii="宋体" w:hAnsi="宋体"/>
                <w:color w:val="auto"/>
                <w:kern w:val="0"/>
                <w:szCs w:val="21"/>
              </w:rPr>
            </w:pPr>
            <w:r>
              <w:rPr>
                <w:rFonts w:hint="eastAsia" w:ascii="宋体" w:hAnsi="宋体"/>
                <w:color w:val="auto"/>
                <w:kern w:val="0"/>
                <w:szCs w:val="21"/>
              </w:rPr>
              <w:t>（3）承诺替甲方排忧解难，协调周边关系，且措施合理可行的，评委根据承诺的实质性情况，在0-</w:t>
            </w:r>
            <w:r>
              <w:rPr>
                <w:rFonts w:hint="eastAsia" w:ascii="宋体" w:hAnsi="宋体"/>
                <w:color w:val="auto"/>
                <w:kern w:val="0"/>
                <w:szCs w:val="21"/>
                <w:lang w:val="en-US" w:eastAsia="zh-CN"/>
              </w:rPr>
              <w:t>4</w:t>
            </w:r>
            <w:r>
              <w:rPr>
                <w:rFonts w:hint="eastAsia" w:ascii="宋体" w:hAnsi="宋体"/>
                <w:color w:val="auto"/>
                <w:kern w:val="0"/>
                <w:szCs w:val="21"/>
              </w:rPr>
              <w:t>分范围内酌情赋分。 0-</w:t>
            </w:r>
            <w:r>
              <w:rPr>
                <w:rFonts w:hint="eastAsia" w:ascii="宋体" w:hAnsi="宋体"/>
                <w:color w:val="auto"/>
                <w:kern w:val="0"/>
                <w:szCs w:val="21"/>
                <w:lang w:val="en-US" w:eastAsia="zh-CN"/>
              </w:rPr>
              <w:t>4</w:t>
            </w:r>
            <w:r>
              <w:rPr>
                <w:rFonts w:hint="eastAsia" w:ascii="宋体" w:hAnsi="宋体"/>
                <w:color w:val="auto"/>
                <w:kern w:val="0"/>
                <w:szCs w:val="21"/>
              </w:rPr>
              <w:t>分</w:t>
            </w:r>
          </w:p>
          <w:p>
            <w:pPr>
              <w:autoSpaceDE w:val="0"/>
              <w:autoSpaceDN w:val="0"/>
              <w:spacing w:after="160" w:line="360" w:lineRule="exact"/>
              <w:rPr>
                <w:rFonts w:hAnsi="宋体"/>
                <w:color w:val="auto"/>
              </w:rPr>
            </w:pPr>
            <w:r>
              <w:rPr>
                <w:rFonts w:hint="eastAsia" w:ascii="宋体" w:hAnsi="宋体"/>
                <w:color w:val="auto"/>
                <w:kern w:val="0"/>
                <w:szCs w:val="21"/>
              </w:rPr>
              <w:t>（4）其他实质性承诺，评委根据承诺的实质性情况，在0-</w:t>
            </w:r>
            <w:r>
              <w:rPr>
                <w:rFonts w:hint="eastAsia" w:ascii="宋体" w:hAnsi="宋体"/>
                <w:color w:val="auto"/>
                <w:kern w:val="0"/>
                <w:szCs w:val="21"/>
                <w:lang w:val="en-US" w:eastAsia="zh-CN"/>
              </w:rPr>
              <w:t>2</w:t>
            </w:r>
            <w:r>
              <w:rPr>
                <w:rFonts w:hint="eastAsia" w:ascii="宋体" w:hAnsi="宋体"/>
                <w:color w:val="auto"/>
                <w:kern w:val="0"/>
                <w:szCs w:val="21"/>
              </w:rPr>
              <w:t>分范围内酌情赋分。 0-</w:t>
            </w:r>
            <w:r>
              <w:rPr>
                <w:rFonts w:hint="eastAsia" w:ascii="宋体" w:hAnsi="宋体"/>
                <w:color w:val="auto"/>
                <w:kern w:val="0"/>
                <w:szCs w:val="21"/>
                <w:lang w:val="en-US" w:eastAsia="zh-CN"/>
              </w:rPr>
              <w:t>2</w:t>
            </w:r>
            <w:r>
              <w:rPr>
                <w:rFonts w:hint="eastAsia" w:ascii="宋体" w:hAnsi="宋体"/>
                <w:color w:val="auto"/>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933" w:hRule="atLeast"/>
          <w:jc w:val="center"/>
        </w:trPr>
        <w:tc>
          <w:tcPr>
            <w:tcW w:w="1213" w:type="dxa"/>
            <w:gridSpan w:val="3"/>
            <w:vMerge w:val="continue"/>
            <w:vAlign w:val="center"/>
          </w:tcPr>
          <w:p>
            <w:pPr>
              <w:rPr>
                <w:color w:val="auto"/>
              </w:rPr>
            </w:pPr>
          </w:p>
        </w:tc>
        <w:tc>
          <w:tcPr>
            <w:tcW w:w="930" w:type="dxa"/>
            <w:gridSpan w:val="2"/>
            <w:vMerge w:val="continue"/>
            <w:vAlign w:val="center"/>
          </w:tcPr>
          <w:p>
            <w:pPr>
              <w:rPr>
                <w:color w:val="auto"/>
              </w:rPr>
            </w:pPr>
          </w:p>
        </w:tc>
        <w:tc>
          <w:tcPr>
            <w:tcW w:w="2268" w:type="dxa"/>
            <w:gridSpan w:val="2"/>
            <w:vAlign w:val="center"/>
          </w:tcPr>
          <w:p>
            <w:pPr>
              <w:autoSpaceDE w:val="0"/>
              <w:autoSpaceDN w:val="0"/>
              <w:spacing w:after="160" w:line="360" w:lineRule="exact"/>
              <w:jc w:val="center"/>
              <w:rPr>
                <w:rFonts w:hAnsi="宋体"/>
                <w:color w:val="auto"/>
              </w:rPr>
            </w:pPr>
            <w:r>
              <w:rPr>
                <w:rFonts w:ascii="宋体" w:hAnsi="宋体"/>
                <w:color w:val="auto"/>
              </w:rPr>
              <w:t>招标人意见</w:t>
            </w:r>
            <w:r>
              <w:rPr>
                <w:rFonts w:hAnsi="宋体"/>
                <w:color w:val="auto"/>
              </w:rPr>
              <w:t>（</w:t>
            </w:r>
            <w:r>
              <w:rPr>
                <w:rFonts w:hint="eastAsia" w:hAnsi="宋体"/>
                <w:color w:val="auto"/>
              </w:rPr>
              <w:t>5</w:t>
            </w:r>
            <w:r>
              <w:rPr>
                <w:rFonts w:hAnsi="宋体"/>
                <w:color w:val="auto"/>
              </w:rPr>
              <w:t>分）</w:t>
            </w:r>
          </w:p>
        </w:tc>
        <w:tc>
          <w:tcPr>
            <w:tcW w:w="5529" w:type="dxa"/>
            <w:vAlign w:val="center"/>
          </w:tcPr>
          <w:p>
            <w:pPr>
              <w:autoSpaceDE w:val="0"/>
              <w:autoSpaceDN w:val="0"/>
              <w:spacing w:after="160" w:line="360" w:lineRule="exact"/>
              <w:rPr>
                <w:rFonts w:hAnsi="宋体"/>
                <w:color w:val="auto"/>
              </w:rPr>
            </w:pPr>
            <w:r>
              <w:rPr>
                <w:rFonts w:eastAsia="Calibri"/>
                <w:color w:val="auto"/>
                <w:kern w:val="0"/>
                <w:szCs w:val="21"/>
              </w:rPr>
              <w:t>招标人根据投标人综合实力打分，</w:t>
            </w:r>
            <w:r>
              <w:rPr>
                <w:rFonts w:hint="eastAsia" w:eastAsia="Calibri"/>
                <w:color w:val="auto"/>
                <w:kern w:val="0"/>
                <w:szCs w:val="21"/>
              </w:rPr>
              <w:t>得</w:t>
            </w:r>
            <w:r>
              <w:rPr>
                <w:rFonts w:hint="eastAsia" w:eastAsiaTheme="minorEastAsia"/>
                <w:color w:val="auto"/>
                <w:kern w:val="0"/>
                <w:szCs w:val="21"/>
              </w:rPr>
              <w:t>0</w:t>
            </w:r>
            <w:r>
              <w:rPr>
                <w:rFonts w:eastAsia="Calibri"/>
                <w:color w:val="auto"/>
                <w:szCs w:val="21"/>
              </w:rPr>
              <w:t>-</w:t>
            </w:r>
            <w:r>
              <w:rPr>
                <w:rFonts w:hint="eastAsia" w:eastAsia="Calibri"/>
                <w:color w:val="auto"/>
                <w:kern w:val="0"/>
                <w:szCs w:val="21"/>
              </w:rPr>
              <w:t>5</w:t>
            </w:r>
            <w:r>
              <w:rPr>
                <w:rFonts w:eastAsia="Calibri"/>
                <w:color w:val="auto"/>
                <w:kern w:val="0"/>
                <w:szCs w:val="21"/>
              </w:rPr>
              <w:t>分。</w:t>
            </w:r>
          </w:p>
        </w:tc>
      </w:tr>
    </w:tbl>
    <w:p>
      <w:pPr>
        <w:pStyle w:val="146"/>
        <w:spacing w:line="360" w:lineRule="exact"/>
        <w:rPr>
          <w:rFonts w:ascii="宋体" w:hAnsi="宋体"/>
          <w:b/>
          <w:color w:val="auto"/>
        </w:rPr>
      </w:pPr>
      <w:r>
        <w:rPr>
          <w:rFonts w:ascii="宋体" w:hAnsi="宋体"/>
          <w:b/>
          <w:color w:val="auto"/>
        </w:rPr>
        <w:br w:type="page"/>
      </w:r>
      <w:bookmarkStart w:id="873" w:name="_Toc16810763"/>
      <w:r>
        <w:rPr>
          <w:rFonts w:hint="eastAsia" w:ascii="宋体" w:hAnsi="宋体"/>
          <w:b/>
          <w:color w:val="auto"/>
        </w:rPr>
        <w:t>1. 评标方法</w:t>
      </w:r>
      <w:bookmarkEnd w:id="862"/>
      <w:bookmarkEnd w:id="863"/>
      <w:bookmarkEnd w:id="864"/>
      <w:bookmarkEnd w:id="865"/>
      <w:bookmarkEnd w:id="866"/>
      <w:bookmarkEnd w:id="867"/>
      <w:bookmarkEnd w:id="868"/>
      <w:bookmarkEnd w:id="869"/>
      <w:bookmarkEnd w:id="870"/>
      <w:bookmarkEnd w:id="871"/>
      <w:bookmarkEnd w:id="872"/>
      <w:bookmarkEnd w:id="873"/>
    </w:p>
    <w:p>
      <w:pPr>
        <w:spacing w:line="360" w:lineRule="exact"/>
        <w:ind w:firstLine="420" w:firstLineChars="200"/>
        <w:rPr>
          <w:rFonts w:ascii="宋体" w:hAnsi="宋体"/>
          <w:color w:val="auto"/>
          <w:szCs w:val="22"/>
        </w:rPr>
      </w:pPr>
      <w:bookmarkStart w:id="874" w:name="_Toc505330734"/>
      <w:bookmarkStart w:id="875" w:name="_Toc152042378"/>
      <w:bookmarkStart w:id="876" w:name="_Toc434848807"/>
      <w:bookmarkStart w:id="877" w:name="_Toc152045601"/>
      <w:bookmarkStart w:id="878" w:name="_Toc519168333"/>
      <w:bookmarkStart w:id="879" w:name="_Toc2755"/>
      <w:bookmarkStart w:id="880" w:name="_Toc297300747"/>
      <w:bookmarkStart w:id="881" w:name="_Toc469668588"/>
      <w:bookmarkStart w:id="882" w:name="_Toc144974568"/>
      <w:bookmarkStart w:id="883" w:name="_Toc326826385"/>
      <w:bookmarkStart w:id="884" w:name="_Toc349217643"/>
      <w:r>
        <w:rPr>
          <w:rFonts w:hint="eastAsia" w:ascii="宋体" w:hAnsi="宋体"/>
          <w:color w:val="auto"/>
          <w:szCs w:val="22"/>
        </w:rPr>
        <w:t>本次评标采用综合评估法。评标委员会对满足招标文件实质性要求的投标文件，按照本章第2.2 款规定的评分标准进行打分，并按得分由高到低顺序推荐1-3名中标候选人，但投标</w:t>
      </w:r>
      <w:r>
        <w:rPr>
          <w:rFonts w:hint="eastAsia" w:ascii="宋体" w:hAnsi="宋体" w:cs="宋体"/>
          <w:color w:val="auto"/>
          <w:kern w:val="0"/>
          <w:szCs w:val="21"/>
        </w:rPr>
        <w:t>报价</w:t>
      </w:r>
      <w:r>
        <w:rPr>
          <w:rFonts w:hint="eastAsia" w:ascii="宋体" w:hAnsi="宋体"/>
          <w:color w:val="auto"/>
          <w:szCs w:val="22"/>
        </w:rPr>
        <w:t>低于其成本的除外。综合评分相等时，以投标</w:t>
      </w:r>
      <w:r>
        <w:rPr>
          <w:rFonts w:hint="eastAsia" w:ascii="宋体" w:hAnsi="宋体" w:cs="宋体"/>
          <w:color w:val="auto"/>
          <w:kern w:val="0"/>
          <w:szCs w:val="21"/>
        </w:rPr>
        <w:t>报价</w:t>
      </w:r>
      <w:r>
        <w:rPr>
          <w:rFonts w:hint="eastAsia" w:ascii="宋体" w:hAnsi="宋体"/>
          <w:color w:val="auto"/>
          <w:szCs w:val="22"/>
        </w:rPr>
        <w:t>低的优先；投标</w:t>
      </w:r>
      <w:r>
        <w:rPr>
          <w:rFonts w:hint="eastAsia" w:ascii="宋体" w:hAnsi="宋体" w:cs="宋体"/>
          <w:color w:val="auto"/>
          <w:kern w:val="0"/>
          <w:szCs w:val="21"/>
        </w:rPr>
        <w:t>报价</w:t>
      </w:r>
      <w:r>
        <w:rPr>
          <w:rFonts w:hint="eastAsia" w:ascii="宋体" w:hAnsi="宋体"/>
          <w:color w:val="auto"/>
          <w:szCs w:val="22"/>
        </w:rPr>
        <w:t>也相等的，以技术标优先。</w:t>
      </w:r>
    </w:p>
    <w:p>
      <w:pPr>
        <w:keepNext/>
        <w:keepLines/>
        <w:spacing w:before="100" w:line="360" w:lineRule="exact"/>
        <w:outlineLvl w:val="1"/>
        <w:rPr>
          <w:rFonts w:ascii="宋体" w:hAnsi="宋体"/>
          <w:b/>
          <w:color w:val="auto"/>
          <w:sz w:val="28"/>
        </w:rPr>
      </w:pPr>
      <w:bookmarkStart w:id="885" w:name="_Toc16810764"/>
      <w:r>
        <w:rPr>
          <w:rFonts w:hint="eastAsia" w:ascii="宋体" w:hAnsi="宋体"/>
          <w:b/>
          <w:color w:val="auto"/>
          <w:sz w:val="28"/>
        </w:rPr>
        <w:t>2. 评审标准</w:t>
      </w:r>
      <w:bookmarkEnd w:id="874"/>
      <w:bookmarkEnd w:id="875"/>
      <w:bookmarkEnd w:id="876"/>
      <w:bookmarkEnd w:id="877"/>
      <w:bookmarkEnd w:id="878"/>
      <w:bookmarkEnd w:id="879"/>
      <w:bookmarkEnd w:id="880"/>
      <w:bookmarkEnd w:id="881"/>
      <w:bookmarkEnd w:id="882"/>
      <w:bookmarkEnd w:id="883"/>
      <w:bookmarkEnd w:id="884"/>
      <w:bookmarkEnd w:id="885"/>
    </w:p>
    <w:p>
      <w:pPr>
        <w:keepNext/>
        <w:keepLines/>
        <w:spacing w:line="360" w:lineRule="exact"/>
        <w:outlineLvl w:val="2"/>
        <w:rPr>
          <w:rFonts w:ascii="宋体" w:hAnsi="宋体" w:cs="宋体"/>
          <w:color w:val="auto"/>
          <w:sz w:val="24"/>
        </w:rPr>
      </w:pPr>
      <w:bookmarkStart w:id="886" w:name="_Toc152045602"/>
      <w:bookmarkStart w:id="887" w:name="_Toc505330735"/>
      <w:bookmarkStart w:id="888" w:name="_Toc152042379"/>
      <w:bookmarkStart w:id="889" w:name="_Toc349217644"/>
      <w:bookmarkStart w:id="890" w:name="_Toc434848808"/>
      <w:bookmarkStart w:id="891" w:name="_Toc12711"/>
      <w:bookmarkStart w:id="892" w:name="_Toc469668589"/>
      <w:bookmarkStart w:id="893" w:name="_Toc297300748"/>
      <w:bookmarkStart w:id="894" w:name="_Toc144974569"/>
      <w:bookmarkStart w:id="895" w:name="_Toc326826386"/>
      <w:r>
        <w:rPr>
          <w:rFonts w:hint="eastAsia" w:ascii="宋体" w:hAnsi="宋体" w:cs="宋体"/>
          <w:b/>
          <w:color w:val="auto"/>
          <w:sz w:val="24"/>
        </w:rPr>
        <w:t xml:space="preserve">2.1 </w:t>
      </w:r>
      <w:r>
        <w:rPr>
          <w:rFonts w:hint="eastAsia" w:ascii="宋体" w:hAnsi="宋体" w:cs="宋体"/>
          <w:color w:val="auto"/>
          <w:sz w:val="24"/>
        </w:rPr>
        <w:t xml:space="preserve"> 初步评审标准</w:t>
      </w:r>
      <w:bookmarkEnd w:id="886"/>
      <w:bookmarkEnd w:id="887"/>
      <w:bookmarkEnd w:id="888"/>
      <w:bookmarkEnd w:id="889"/>
      <w:bookmarkEnd w:id="890"/>
      <w:bookmarkEnd w:id="891"/>
      <w:bookmarkEnd w:id="892"/>
      <w:bookmarkEnd w:id="893"/>
      <w:bookmarkEnd w:id="894"/>
      <w:bookmarkEnd w:id="895"/>
    </w:p>
    <w:p>
      <w:pPr>
        <w:spacing w:line="360" w:lineRule="exact"/>
        <w:ind w:firstLine="420" w:firstLineChars="200"/>
        <w:rPr>
          <w:rFonts w:ascii="宋体" w:hAnsi="宋体"/>
          <w:color w:val="auto"/>
        </w:rPr>
      </w:pPr>
      <w:r>
        <w:rPr>
          <w:rFonts w:hint="eastAsia" w:ascii="宋体" w:hAnsi="宋体"/>
          <w:color w:val="auto"/>
        </w:rPr>
        <w:t>2.1.1  形式评审标准：见评标办法前附表。</w:t>
      </w:r>
    </w:p>
    <w:p>
      <w:pPr>
        <w:spacing w:line="360" w:lineRule="exact"/>
        <w:ind w:firstLine="420" w:firstLineChars="200"/>
        <w:rPr>
          <w:rFonts w:ascii="宋体" w:hAnsi="宋体"/>
          <w:color w:val="auto"/>
        </w:rPr>
      </w:pPr>
      <w:r>
        <w:rPr>
          <w:rFonts w:hint="eastAsia" w:ascii="宋体" w:hAnsi="宋体"/>
          <w:color w:val="auto"/>
        </w:rPr>
        <w:t>2.1.2  资格评审标准：见评标办法前附表。</w:t>
      </w:r>
    </w:p>
    <w:p>
      <w:pPr>
        <w:spacing w:line="360" w:lineRule="exact"/>
        <w:ind w:firstLine="420" w:firstLineChars="200"/>
        <w:rPr>
          <w:rFonts w:ascii="宋体" w:hAnsi="宋体"/>
          <w:color w:val="auto"/>
        </w:rPr>
      </w:pPr>
      <w:r>
        <w:rPr>
          <w:rFonts w:hint="eastAsia" w:ascii="宋体" w:hAnsi="宋体"/>
          <w:color w:val="auto"/>
        </w:rPr>
        <w:t>2.1.3  响应性评审标准：见评标办法前附表。</w:t>
      </w:r>
    </w:p>
    <w:p>
      <w:pPr>
        <w:keepNext/>
        <w:keepLines/>
        <w:spacing w:line="360" w:lineRule="exact"/>
        <w:outlineLvl w:val="2"/>
        <w:rPr>
          <w:rFonts w:ascii="宋体" w:hAnsi="宋体" w:cs="宋体"/>
          <w:b/>
          <w:color w:val="auto"/>
          <w:sz w:val="24"/>
        </w:rPr>
      </w:pPr>
      <w:bookmarkStart w:id="896" w:name="_Toc505330736"/>
      <w:r>
        <w:rPr>
          <w:rFonts w:hint="eastAsia" w:ascii="宋体" w:hAnsi="宋体" w:cs="宋体"/>
          <w:b/>
          <w:color w:val="auto"/>
          <w:sz w:val="24"/>
        </w:rPr>
        <w:t xml:space="preserve">2.2 </w:t>
      </w:r>
      <w:r>
        <w:rPr>
          <w:rFonts w:hint="eastAsia" w:ascii="宋体" w:hAnsi="宋体" w:cs="宋体"/>
          <w:color w:val="auto"/>
          <w:sz w:val="24"/>
        </w:rPr>
        <w:t>分值构成与评分标准</w:t>
      </w:r>
      <w:bookmarkEnd w:id="896"/>
    </w:p>
    <w:p>
      <w:pPr>
        <w:spacing w:line="360" w:lineRule="exact"/>
        <w:ind w:firstLine="420" w:firstLineChars="200"/>
        <w:rPr>
          <w:rFonts w:ascii="宋体" w:hAnsi="宋体"/>
          <w:color w:val="auto"/>
          <w:szCs w:val="21"/>
        </w:rPr>
      </w:pPr>
      <w:r>
        <w:rPr>
          <w:rFonts w:hint="eastAsia" w:ascii="宋体" w:hAnsi="宋体"/>
          <w:color w:val="auto"/>
          <w:szCs w:val="21"/>
        </w:rPr>
        <w:t>2.2.1 分值构成</w:t>
      </w:r>
    </w:p>
    <w:p>
      <w:pPr>
        <w:spacing w:line="360" w:lineRule="exact"/>
        <w:ind w:firstLine="420" w:firstLineChars="200"/>
        <w:rPr>
          <w:rFonts w:ascii="宋体" w:hAnsi="宋体"/>
          <w:color w:val="auto"/>
          <w:szCs w:val="21"/>
        </w:rPr>
      </w:pPr>
      <w:r>
        <w:rPr>
          <w:rFonts w:hint="eastAsia" w:ascii="宋体" w:hAnsi="宋体"/>
          <w:color w:val="auto"/>
          <w:szCs w:val="21"/>
        </w:rPr>
        <w:t>（1）技术部分：见评标办法前附表；</w:t>
      </w:r>
    </w:p>
    <w:p>
      <w:pPr>
        <w:spacing w:line="360" w:lineRule="exact"/>
        <w:ind w:firstLine="420" w:firstLineChars="200"/>
        <w:rPr>
          <w:rFonts w:ascii="宋体" w:hAnsi="宋体"/>
          <w:color w:val="auto"/>
          <w:szCs w:val="21"/>
        </w:rPr>
      </w:pPr>
      <w:r>
        <w:rPr>
          <w:rFonts w:hint="eastAsia" w:ascii="宋体" w:hAnsi="宋体"/>
          <w:color w:val="auto"/>
          <w:szCs w:val="21"/>
        </w:rPr>
        <w:t>（2）商务部分：见评标办法前附表；</w:t>
      </w:r>
    </w:p>
    <w:p>
      <w:pPr>
        <w:spacing w:line="360" w:lineRule="exact"/>
        <w:ind w:firstLine="420" w:firstLineChars="200"/>
        <w:rPr>
          <w:rFonts w:ascii="宋体" w:hAnsi="宋体"/>
          <w:color w:val="auto"/>
          <w:szCs w:val="21"/>
        </w:rPr>
      </w:pPr>
      <w:r>
        <w:rPr>
          <w:rFonts w:hint="eastAsia" w:ascii="宋体" w:hAnsi="宋体"/>
          <w:color w:val="auto"/>
          <w:szCs w:val="21"/>
        </w:rPr>
        <w:t>（3）综合信用部分：见评标办法前附表。</w:t>
      </w:r>
    </w:p>
    <w:p>
      <w:pPr>
        <w:spacing w:line="360" w:lineRule="exact"/>
        <w:ind w:firstLine="420" w:firstLineChars="200"/>
        <w:rPr>
          <w:rFonts w:ascii="宋体" w:hAnsi="宋体"/>
          <w:color w:val="auto"/>
          <w:szCs w:val="21"/>
        </w:rPr>
      </w:pPr>
      <w:r>
        <w:rPr>
          <w:rFonts w:hint="eastAsia" w:ascii="宋体" w:hAnsi="宋体"/>
          <w:color w:val="auto"/>
          <w:szCs w:val="21"/>
        </w:rPr>
        <w:t>2.2.2 评标基准价计算</w:t>
      </w:r>
    </w:p>
    <w:p>
      <w:pPr>
        <w:spacing w:line="360" w:lineRule="exact"/>
        <w:ind w:firstLine="420" w:firstLineChars="200"/>
        <w:rPr>
          <w:rFonts w:ascii="宋体" w:hAnsi="宋体"/>
          <w:color w:val="auto"/>
          <w:szCs w:val="21"/>
        </w:rPr>
      </w:pPr>
      <w:r>
        <w:rPr>
          <w:rFonts w:hint="eastAsia" w:ascii="宋体" w:hAnsi="宋体"/>
          <w:color w:val="auto"/>
          <w:szCs w:val="21"/>
        </w:rPr>
        <w:t>评标基准价计算方法：见评标办法前附表。</w:t>
      </w:r>
    </w:p>
    <w:p>
      <w:pPr>
        <w:spacing w:line="360" w:lineRule="exact"/>
        <w:ind w:firstLine="420" w:firstLineChars="200"/>
        <w:rPr>
          <w:rFonts w:ascii="宋体" w:hAnsi="宋体"/>
          <w:color w:val="auto"/>
          <w:szCs w:val="21"/>
        </w:rPr>
      </w:pPr>
      <w:r>
        <w:rPr>
          <w:rFonts w:ascii="宋体" w:hAnsi="宋体"/>
          <w:color w:val="auto"/>
          <w:szCs w:val="21"/>
        </w:rPr>
        <w:t>2.2.3 投标报价的偏差率计算</w:t>
      </w:r>
    </w:p>
    <w:p>
      <w:pPr>
        <w:spacing w:line="360" w:lineRule="exact"/>
        <w:ind w:firstLine="420" w:firstLineChars="200"/>
        <w:rPr>
          <w:rFonts w:ascii="宋体" w:hAnsi="宋体"/>
          <w:color w:val="auto"/>
          <w:szCs w:val="21"/>
        </w:rPr>
      </w:pPr>
      <w:r>
        <w:rPr>
          <w:rFonts w:ascii="宋体" w:hAnsi="宋体"/>
          <w:color w:val="auto"/>
          <w:szCs w:val="21"/>
        </w:rPr>
        <w:t>投标报价的偏差率计算公式：见评标办法前附表。</w:t>
      </w:r>
    </w:p>
    <w:p>
      <w:pPr>
        <w:spacing w:line="360" w:lineRule="exact"/>
        <w:ind w:firstLine="420" w:firstLineChars="200"/>
        <w:rPr>
          <w:rFonts w:ascii="宋体" w:hAnsi="宋体"/>
          <w:color w:val="auto"/>
          <w:szCs w:val="21"/>
        </w:rPr>
      </w:pPr>
      <w:r>
        <w:rPr>
          <w:rFonts w:hint="eastAsia" w:ascii="宋体" w:hAnsi="宋体"/>
          <w:color w:val="auto"/>
          <w:szCs w:val="21"/>
        </w:rPr>
        <w:t>2.2.4评分标准</w:t>
      </w:r>
    </w:p>
    <w:p>
      <w:pPr>
        <w:tabs>
          <w:tab w:val="left" w:pos="1080"/>
        </w:tabs>
        <w:spacing w:line="360" w:lineRule="exact"/>
        <w:ind w:firstLine="420" w:firstLineChars="200"/>
        <w:rPr>
          <w:rFonts w:ascii="宋体" w:hAnsi="宋体"/>
          <w:color w:val="auto"/>
          <w:szCs w:val="21"/>
        </w:rPr>
      </w:pPr>
      <w:r>
        <w:rPr>
          <w:rFonts w:hint="eastAsia" w:ascii="宋体" w:hAnsi="宋体"/>
          <w:color w:val="auto"/>
          <w:szCs w:val="21"/>
        </w:rPr>
        <w:t>（1）技术部分评分标准：见评标办法前附表；</w:t>
      </w:r>
    </w:p>
    <w:p>
      <w:pPr>
        <w:tabs>
          <w:tab w:val="left" w:pos="1080"/>
        </w:tabs>
        <w:spacing w:line="360" w:lineRule="exact"/>
        <w:ind w:firstLine="420" w:firstLineChars="200"/>
        <w:rPr>
          <w:rFonts w:ascii="宋体" w:hAnsi="宋体"/>
          <w:color w:val="auto"/>
          <w:szCs w:val="21"/>
        </w:rPr>
      </w:pPr>
      <w:r>
        <w:rPr>
          <w:rFonts w:hint="eastAsia" w:ascii="宋体" w:hAnsi="宋体"/>
          <w:color w:val="auto"/>
          <w:szCs w:val="21"/>
        </w:rPr>
        <w:t>（2）商务部分评分标准：见评标办法前附表；</w:t>
      </w:r>
    </w:p>
    <w:p>
      <w:pPr>
        <w:tabs>
          <w:tab w:val="left" w:pos="1080"/>
        </w:tabs>
        <w:spacing w:line="360" w:lineRule="exact"/>
        <w:ind w:firstLine="420" w:firstLineChars="200"/>
        <w:rPr>
          <w:rFonts w:ascii="宋体" w:hAnsi="宋体"/>
          <w:color w:val="auto"/>
        </w:rPr>
      </w:pPr>
      <w:r>
        <w:rPr>
          <w:rFonts w:hint="eastAsia" w:ascii="宋体" w:hAnsi="宋体"/>
          <w:color w:val="auto"/>
          <w:szCs w:val="21"/>
        </w:rPr>
        <w:t>（3）综合信用部分评分标准：见评标办法前附表。</w:t>
      </w:r>
    </w:p>
    <w:p>
      <w:pPr>
        <w:keepNext/>
        <w:keepLines/>
        <w:spacing w:before="100" w:line="360" w:lineRule="exact"/>
        <w:outlineLvl w:val="1"/>
        <w:rPr>
          <w:rFonts w:ascii="宋体" w:hAnsi="宋体"/>
          <w:b/>
          <w:color w:val="auto"/>
          <w:sz w:val="28"/>
        </w:rPr>
      </w:pPr>
      <w:bookmarkStart w:id="897" w:name="_Toc434848809"/>
      <w:bookmarkStart w:id="898" w:name="_Toc144974571"/>
      <w:bookmarkStart w:id="899" w:name="_Toc297300750"/>
      <w:bookmarkStart w:id="900" w:name="_Toc5419"/>
      <w:bookmarkStart w:id="901" w:name="_Toc16810765"/>
      <w:bookmarkStart w:id="902" w:name="_Toc152042381"/>
      <w:bookmarkStart w:id="903" w:name="_Toc505330737"/>
      <w:bookmarkStart w:id="904" w:name="_Toc519168334"/>
      <w:bookmarkStart w:id="905" w:name="_Toc469668590"/>
      <w:bookmarkStart w:id="906" w:name="_Toc152045604"/>
      <w:bookmarkStart w:id="907" w:name="_Toc326826388"/>
      <w:bookmarkStart w:id="908" w:name="_Toc349217646"/>
      <w:r>
        <w:rPr>
          <w:rFonts w:hint="eastAsia" w:ascii="宋体" w:hAnsi="宋体"/>
          <w:b/>
          <w:color w:val="auto"/>
          <w:sz w:val="28"/>
        </w:rPr>
        <w:t>3. 评标程序</w:t>
      </w:r>
      <w:bookmarkEnd w:id="897"/>
      <w:bookmarkEnd w:id="898"/>
      <w:bookmarkEnd w:id="899"/>
      <w:bookmarkEnd w:id="900"/>
      <w:bookmarkEnd w:id="901"/>
      <w:bookmarkEnd w:id="902"/>
      <w:bookmarkEnd w:id="903"/>
      <w:bookmarkEnd w:id="904"/>
      <w:bookmarkEnd w:id="905"/>
      <w:bookmarkEnd w:id="906"/>
      <w:bookmarkEnd w:id="907"/>
      <w:bookmarkEnd w:id="908"/>
    </w:p>
    <w:p>
      <w:pPr>
        <w:keepNext/>
        <w:keepLines/>
        <w:spacing w:line="360" w:lineRule="exact"/>
        <w:outlineLvl w:val="2"/>
        <w:rPr>
          <w:rFonts w:ascii="宋体" w:hAnsi="宋体" w:cs="宋体"/>
          <w:color w:val="auto"/>
          <w:sz w:val="24"/>
        </w:rPr>
      </w:pPr>
      <w:bookmarkStart w:id="909" w:name="_Toc144974572"/>
      <w:bookmarkStart w:id="910" w:name="_Toc152042382"/>
      <w:bookmarkStart w:id="911" w:name="_Toc326826389"/>
      <w:bookmarkStart w:id="912" w:name="_Toc152045605"/>
      <w:bookmarkStart w:id="913" w:name="_Toc21786"/>
      <w:bookmarkStart w:id="914" w:name="_Toc469668591"/>
      <w:bookmarkStart w:id="915" w:name="_Toc434848810"/>
      <w:bookmarkStart w:id="916" w:name="_Toc505330738"/>
      <w:bookmarkStart w:id="917" w:name="_Toc349217647"/>
      <w:bookmarkStart w:id="918" w:name="_Toc297300751"/>
      <w:r>
        <w:rPr>
          <w:rFonts w:hint="eastAsia" w:ascii="宋体" w:hAnsi="宋体" w:cs="宋体"/>
          <w:b/>
          <w:color w:val="auto"/>
          <w:sz w:val="24"/>
        </w:rPr>
        <w:t xml:space="preserve">3.1 </w:t>
      </w:r>
      <w:r>
        <w:rPr>
          <w:rFonts w:hint="eastAsia" w:ascii="宋体" w:hAnsi="宋体" w:cs="宋体"/>
          <w:color w:val="auto"/>
          <w:sz w:val="24"/>
        </w:rPr>
        <w:t xml:space="preserve"> 初步评审</w:t>
      </w:r>
      <w:bookmarkEnd w:id="909"/>
      <w:bookmarkEnd w:id="910"/>
      <w:bookmarkEnd w:id="911"/>
      <w:bookmarkEnd w:id="912"/>
      <w:bookmarkEnd w:id="913"/>
      <w:bookmarkEnd w:id="914"/>
      <w:bookmarkEnd w:id="915"/>
      <w:bookmarkEnd w:id="916"/>
      <w:bookmarkEnd w:id="917"/>
      <w:bookmarkEnd w:id="918"/>
    </w:p>
    <w:p>
      <w:pPr>
        <w:spacing w:line="360" w:lineRule="exact"/>
        <w:ind w:firstLine="420" w:firstLineChars="200"/>
        <w:rPr>
          <w:rFonts w:ascii="宋体" w:hAnsi="宋体"/>
          <w:color w:val="auto"/>
        </w:rPr>
      </w:pPr>
      <w:r>
        <w:rPr>
          <w:rFonts w:hint="eastAsia" w:ascii="宋体" w:hAnsi="宋体"/>
          <w:color w:val="auto"/>
        </w:rPr>
        <w:t>3.1.1  评标委员会依据本章第2.1.1 项-第2.1.3项规定的评审标准对投标文件进行初步评审,有一项不符合评审标准的，作废标处理。</w:t>
      </w:r>
    </w:p>
    <w:p>
      <w:pPr>
        <w:spacing w:line="360" w:lineRule="exact"/>
        <w:ind w:firstLine="420" w:firstLineChars="200"/>
        <w:rPr>
          <w:rFonts w:ascii="宋体" w:hAnsi="宋体"/>
          <w:color w:val="auto"/>
        </w:rPr>
      </w:pPr>
      <w:r>
        <w:rPr>
          <w:rFonts w:hint="eastAsia" w:ascii="宋体" w:hAnsi="宋体"/>
          <w:color w:val="auto"/>
        </w:rPr>
        <w:t>3.1.2  投标人有以下情形之一的，其投标作废标处理：</w:t>
      </w:r>
    </w:p>
    <w:p>
      <w:pPr>
        <w:spacing w:line="360" w:lineRule="exact"/>
        <w:ind w:firstLine="420" w:firstLineChars="200"/>
        <w:rPr>
          <w:rFonts w:ascii="宋体" w:hAnsi="宋体"/>
          <w:color w:val="auto"/>
        </w:rPr>
      </w:pPr>
      <w:r>
        <w:rPr>
          <w:rFonts w:hint="eastAsia" w:ascii="宋体" w:hAnsi="宋体"/>
          <w:color w:val="auto"/>
        </w:rPr>
        <w:t>(1) 投标文件未按招标文件中规定加盖投标人电子签章及未经法定代表人或法定代表人委托的代理人电子签章的，企业法定代表人委托代理人没有合法、有效的委托书或其委托书没有委托代理人签字或盖章的;</w:t>
      </w:r>
    </w:p>
    <w:p>
      <w:pPr>
        <w:spacing w:line="360" w:lineRule="exact"/>
        <w:ind w:firstLine="420" w:firstLineChars="200"/>
        <w:rPr>
          <w:rFonts w:ascii="宋体" w:hAnsi="宋体"/>
          <w:color w:val="auto"/>
        </w:rPr>
      </w:pPr>
      <w:r>
        <w:rPr>
          <w:rFonts w:hint="eastAsia" w:ascii="宋体" w:hAnsi="宋体"/>
          <w:color w:val="auto"/>
        </w:rPr>
        <w:t>(2) 不按招标文件规定编制标书，关键内容字迹模糊，无法辨认的；</w:t>
      </w:r>
    </w:p>
    <w:p>
      <w:pPr>
        <w:spacing w:line="360" w:lineRule="exact"/>
        <w:ind w:firstLine="420" w:firstLineChars="200"/>
        <w:rPr>
          <w:rFonts w:ascii="宋体" w:hAnsi="宋体"/>
          <w:color w:val="auto"/>
        </w:rPr>
      </w:pPr>
      <w:r>
        <w:rPr>
          <w:rFonts w:hint="eastAsia" w:ascii="宋体" w:hAnsi="宋体"/>
          <w:color w:val="auto"/>
        </w:rPr>
        <w:t>(3) 资格审查不合格的；</w:t>
      </w:r>
    </w:p>
    <w:p>
      <w:pPr>
        <w:spacing w:line="360" w:lineRule="exact"/>
        <w:ind w:firstLine="420" w:firstLineChars="200"/>
        <w:rPr>
          <w:rFonts w:ascii="宋体" w:hAnsi="宋体"/>
          <w:color w:val="auto"/>
        </w:rPr>
      </w:pPr>
      <w:r>
        <w:rPr>
          <w:rFonts w:hint="eastAsia" w:ascii="宋体" w:hAnsi="宋体"/>
          <w:color w:val="auto"/>
        </w:rPr>
        <w:t>(4) 投标文件不写投标</w:t>
      </w:r>
      <w:r>
        <w:rPr>
          <w:rFonts w:hint="eastAsia" w:ascii="宋体" w:hAnsi="宋体" w:cs="宋体"/>
          <w:color w:val="auto"/>
          <w:kern w:val="0"/>
          <w:szCs w:val="21"/>
        </w:rPr>
        <w:t>报价</w:t>
      </w:r>
      <w:r>
        <w:rPr>
          <w:rFonts w:hint="eastAsia" w:ascii="宋体" w:hAnsi="宋体"/>
          <w:color w:val="auto"/>
        </w:rPr>
        <w:t>或投标</w:t>
      </w:r>
      <w:r>
        <w:rPr>
          <w:rFonts w:hint="eastAsia" w:ascii="宋体" w:hAnsi="宋体" w:cs="宋体"/>
          <w:color w:val="auto"/>
          <w:kern w:val="0"/>
          <w:szCs w:val="21"/>
        </w:rPr>
        <w:t>报价</w:t>
      </w:r>
      <w:r>
        <w:rPr>
          <w:rFonts w:hint="eastAsia" w:ascii="宋体" w:hAnsi="宋体"/>
          <w:color w:val="auto"/>
        </w:rPr>
        <w:t xml:space="preserve">超过招标控制价及招标控制总价的； </w:t>
      </w:r>
    </w:p>
    <w:p>
      <w:pPr>
        <w:spacing w:line="360" w:lineRule="exact"/>
        <w:ind w:firstLine="420" w:firstLineChars="200"/>
        <w:rPr>
          <w:rFonts w:ascii="宋体" w:hAnsi="宋体"/>
          <w:color w:val="auto"/>
        </w:rPr>
      </w:pPr>
      <w:r>
        <w:rPr>
          <w:rFonts w:hint="eastAsia" w:ascii="宋体" w:hAnsi="宋体"/>
          <w:color w:val="auto"/>
        </w:rPr>
        <w:t>(5) 不报工期或投标工期超过招标文件要求的；</w:t>
      </w:r>
    </w:p>
    <w:p>
      <w:pPr>
        <w:spacing w:line="360" w:lineRule="exact"/>
        <w:ind w:firstLine="420" w:firstLineChars="200"/>
        <w:rPr>
          <w:rFonts w:ascii="宋体" w:hAnsi="宋体"/>
          <w:color w:val="auto"/>
        </w:rPr>
      </w:pPr>
      <w:r>
        <w:rPr>
          <w:rFonts w:hint="eastAsia" w:ascii="宋体" w:hAnsi="宋体"/>
          <w:color w:val="auto"/>
        </w:rPr>
        <w:t>(6) 投标质量等级不能满足招标文件要求的；</w:t>
      </w:r>
    </w:p>
    <w:p>
      <w:pPr>
        <w:spacing w:line="360" w:lineRule="exact"/>
        <w:ind w:firstLine="420" w:firstLineChars="200"/>
        <w:rPr>
          <w:rFonts w:ascii="宋体" w:hAnsi="宋体"/>
          <w:color w:val="auto"/>
        </w:rPr>
      </w:pPr>
      <w:r>
        <w:rPr>
          <w:rFonts w:hint="eastAsia" w:ascii="宋体" w:hAnsi="宋体"/>
          <w:color w:val="auto"/>
        </w:rPr>
        <w:t>(7) 附有招标人不能接受的条件的；</w:t>
      </w:r>
    </w:p>
    <w:p>
      <w:pPr>
        <w:spacing w:line="360" w:lineRule="exact"/>
        <w:ind w:firstLine="420" w:firstLineChars="200"/>
        <w:rPr>
          <w:rFonts w:ascii="宋体" w:hAnsi="宋体"/>
          <w:color w:val="auto"/>
        </w:rPr>
      </w:pPr>
      <w:r>
        <w:rPr>
          <w:rFonts w:hint="eastAsia" w:ascii="宋体" w:hAnsi="宋体"/>
          <w:color w:val="auto"/>
        </w:rPr>
        <w:t>(8) 投标人以他人的名义投标、串通投标，以不正当手段谋取中标的；</w:t>
      </w:r>
    </w:p>
    <w:p>
      <w:pPr>
        <w:spacing w:line="360" w:lineRule="exact"/>
        <w:ind w:firstLine="420" w:firstLineChars="200"/>
        <w:rPr>
          <w:rFonts w:ascii="宋体" w:hAnsi="宋体"/>
          <w:color w:val="auto"/>
        </w:rPr>
      </w:pPr>
      <w:r>
        <w:rPr>
          <w:rFonts w:hint="eastAsia" w:ascii="宋体" w:hAnsi="宋体"/>
          <w:color w:val="auto"/>
        </w:rPr>
        <w:t>(9)对招标文件的实质性条款没有作出逐条响应的；</w:t>
      </w:r>
    </w:p>
    <w:p>
      <w:pPr>
        <w:spacing w:line="360" w:lineRule="exact"/>
        <w:ind w:firstLine="420" w:firstLineChars="200"/>
        <w:rPr>
          <w:rFonts w:ascii="宋体" w:hAnsi="宋体"/>
          <w:color w:val="auto"/>
        </w:rPr>
      </w:pPr>
      <w:r>
        <w:rPr>
          <w:rFonts w:hint="eastAsia" w:ascii="宋体" w:hAnsi="宋体"/>
          <w:color w:val="auto"/>
        </w:rPr>
        <w:t>(10) 投标人有弄虚作假行为或提供的证书有虚假、涂改现象的；</w:t>
      </w:r>
    </w:p>
    <w:p>
      <w:pPr>
        <w:spacing w:line="360" w:lineRule="exact"/>
        <w:ind w:firstLine="420" w:firstLineChars="200"/>
        <w:rPr>
          <w:rFonts w:ascii="宋体" w:hAnsi="宋体"/>
          <w:color w:val="auto"/>
        </w:rPr>
      </w:pPr>
      <w:r>
        <w:rPr>
          <w:rFonts w:hint="eastAsia" w:ascii="宋体" w:hAnsi="宋体"/>
          <w:color w:val="auto"/>
        </w:rPr>
        <w:t>(l1) 违反国家有关法律法规的；</w:t>
      </w:r>
    </w:p>
    <w:p>
      <w:pPr>
        <w:spacing w:line="360" w:lineRule="exact"/>
        <w:ind w:firstLine="420" w:firstLineChars="200"/>
        <w:rPr>
          <w:rFonts w:ascii="宋体" w:hAnsi="宋体"/>
          <w:color w:val="auto"/>
        </w:rPr>
      </w:pPr>
      <w:r>
        <w:rPr>
          <w:rFonts w:hint="eastAsia" w:ascii="宋体" w:hAnsi="宋体"/>
          <w:color w:val="auto"/>
        </w:rPr>
        <w:t>(12)不按评标委员会要求澄清、说明或补正的。</w:t>
      </w:r>
    </w:p>
    <w:p>
      <w:pPr>
        <w:spacing w:line="360" w:lineRule="exact"/>
        <w:ind w:firstLine="420" w:firstLineChars="200"/>
        <w:rPr>
          <w:rFonts w:ascii="宋体" w:hAnsi="宋体"/>
          <w:color w:val="auto"/>
        </w:rPr>
      </w:pPr>
      <w:r>
        <w:rPr>
          <w:rFonts w:hint="eastAsia" w:ascii="宋体" w:hAnsi="宋体"/>
          <w:color w:val="auto"/>
        </w:rPr>
        <w:t>(13)第二章 “投标人须知”第1.4.3 项规定的任何一种情形的；</w:t>
      </w:r>
    </w:p>
    <w:p>
      <w:pPr>
        <w:spacing w:line="360" w:lineRule="exact"/>
        <w:ind w:firstLine="420" w:firstLineChars="200"/>
        <w:rPr>
          <w:rFonts w:ascii="宋体" w:hAnsi="宋体"/>
          <w:color w:val="auto"/>
        </w:rPr>
      </w:pPr>
      <w:r>
        <w:rPr>
          <w:rFonts w:hint="eastAsia" w:ascii="宋体" w:hAnsi="宋体"/>
          <w:color w:val="auto"/>
        </w:rPr>
        <w:t>(14)招标文件或相关法律法规有其他规定的</w:t>
      </w:r>
    </w:p>
    <w:p>
      <w:pPr>
        <w:keepNext/>
        <w:keepLines/>
        <w:spacing w:line="360" w:lineRule="exact"/>
        <w:outlineLvl w:val="2"/>
        <w:rPr>
          <w:rFonts w:ascii="宋体" w:hAnsi="宋体" w:cs="宋体"/>
          <w:color w:val="auto"/>
          <w:sz w:val="24"/>
        </w:rPr>
      </w:pPr>
      <w:bookmarkStart w:id="919" w:name="_Toc434848811"/>
      <w:bookmarkStart w:id="920" w:name="_Toc25751"/>
      <w:bookmarkStart w:id="921" w:name="_Toc152042384"/>
      <w:bookmarkStart w:id="922" w:name="_Toc326826390"/>
      <w:bookmarkStart w:id="923" w:name="_Toc349217648"/>
      <w:bookmarkStart w:id="924" w:name="_Toc297300752"/>
      <w:bookmarkStart w:id="925" w:name="_Toc144974573"/>
      <w:bookmarkStart w:id="926" w:name="_Toc152045606"/>
      <w:bookmarkStart w:id="927" w:name="_Toc469668592"/>
      <w:bookmarkStart w:id="928" w:name="_Toc505330739"/>
      <w:r>
        <w:rPr>
          <w:rFonts w:hint="eastAsia" w:ascii="宋体" w:hAnsi="宋体" w:cs="宋体"/>
          <w:b/>
          <w:color w:val="auto"/>
          <w:sz w:val="24"/>
        </w:rPr>
        <w:t>3.2</w:t>
      </w:r>
      <w:r>
        <w:rPr>
          <w:rFonts w:hint="eastAsia" w:ascii="宋体" w:hAnsi="宋体" w:cs="宋体"/>
          <w:color w:val="auto"/>
          <w:sz w:val="24"/>
        </w:rPr>
        <w:t xml:space="preserve">  详细评审</w:t>
      </w:r>
      <w:bookmarkEnd w:id="919"/>
      <w:bookmarkEnd w:id="920"/>
      <w:bookmarkEnd w:id="921"/>
      <w:bookmarkEnd w:id="922"/>
      <w:bookmarkEnd w:id="923"/>
      <w:bookmarkEnd w:id="924"/>
      <w:bookmarkEnd w:id="925"/>
      <w:bookmarkEnd w:id="926"/>
      <w:bookmarkEnd w:id="927"/>
      <w:bookmarkEnd w:id="928"/>
    </w:p>
    <w:p>
      <w:pPr>
        <w:spacing w:line="360" w:lineRule="exact"/>
        <w:ind w:firstLine="420" w:firstLineChars="200"/>
        <w:rPr>
          <w:rFonts w:ascii="宋体" w:hAnsi="宋体"/>
          <w:color w:val="auto"/>
        </w:rPr>
      </w:pPr>
      <w:r>
        <w:rPr>
          <w:rFonts w:ascii="宋体" w:hAnsi="宋体"/>
          <w:color w:val="auto"/>
        </w:rPr>
        <w:t xml:space="preserve">3.2.1 </w:t>
      </w:r>
      <w:r>
        <w:rPr>
          <w:rFonts w:hint="eastAsia" w:ascii="宋体" w:hAnsi="宋体"/>
          <w:color w:val="auto"/>
        </w:rPr>
        <w:t>评标委员会按本章第</w:t>
      </w:r>
      <w:r>
        <w:rPr>
          <w:rFonts w:ascii="宋体" w:hAnsi="宋体"/>
          <w:color w:val="auto"/>
        </w:rPr>
        <w:t xml:space="preserve">2.2 </w:t>
      </w:r>
      <w:r>
        <w:rPr>
          <w:rFonts w:hint="eastAsia" w:ascii="宋体" w:hAnsi="宋体"/>
          <w:color w:val="auto"/>
        </w:rPr>
        <w:t>款规定的量化因素和分值进行打分，并计算出综合评估得分。</w:t>
      </w:r>
    </w:p>
    <w:p>
      <w:pPr>
        <w:spacing w:line="360" w:lineRule="exact"/>
        <w:ind w:firstLine="420" w:firstLineChars="200"/>
        <w:rPr>
          <w:rFonts w:ascii="宋体" w:hAnsi="宋体"/>
          <w:color w:val="auto"/>
        </w:rPr>
      </w:pPr>
      <w:r>
        <w:rPr>
          <w:rFonts w:hint="eastAsia" w:ascii="宋体" w:hAnsi="宋体"/>
          <w:color w:val="auto"/>
        </w:rPr>
        <w:t>（1）按本章第2.2.4（1）目规定的评审因素和分值对施工组织设计计算出得分A；</w:t>
      </w:r>
    </w:p>
    <w:p>
      <w:pPr>
        <w:spacing w:line="360" w:lineRule="exact"/>
        <w:ind w:firstLine="420" w:firstLineChars="200"/>
        <w:rPr>
          <w:rFonts w:ascii="宋体" w:hAnsi="宋体"/>
          <w:color w:val="auto"/>
        </w:rPr>
      </w:pPr>
      <w:r>
        <w:rPr>
          <w:rFonts w:hint="eastAsia" w:ascii="宋体" w:hAnsi="宋体"/>
          <w:color w:val="auto"/>
        </w:rPr>
        <w:t>（2）按本章第2.2.4（2）规定的评审因素和分值对商务标计算出得分B</w:t>
      </w:r>
    </w:p>
    <w:p>
      <w:pPr>
        <w:spacing w:line="360" w:lineRule="exact"/>
        <w:ind w:firstLine="420" w:firstLineChars="200"/>
        <w:rPr>
          <w:rFonts w:ascii="宋体" w:hAnsi="宋体"/>
          <w:color w:val="auto"/>
        </w:rPr>
      </w:pPr>
      <w:r>
        <w:rPr>
          <w:rFonts w:hint="eastAsia" w:ascii="宋体" w:hAnsi="宋体"/>
          <w:color w:val="auto"/>
        </w:rPr>
        <w:t>（3）按本章第2.2.4（3）目规定的评审因素和分值对其他部分计算出得分C。</w:t>
      </w:r>
    </w:p>
    <w:p>
      <w:pPr>
        <w:spacing w:line="360" w:lineRule="exact"/>
        <w:ind w:firstLine="420" w:firstLineChars="200"/>
        <w:rPr>
          <w:rFonts w:ascii="宋体" w:hAnsi="宋体"/>
          <w:color w:val="auto"/>
        </w:rPr>
      </w:pPr>
      <w:r>
        <w:rPr>
          <w:rFonts w:ascii="宋体" w:hAnsi="宋体"/>
          <w:color w:val="auto"/>
        </w:rPr>
        <w:t xml:space="preserve">3.2.2 </w:t>
      </w:r>
      <w:r>
        <w:rPr>
          <w:rFonts w:hint="eastAsia" w:ascii="宋体" w:hAnsi="宋体"/>
          <w:color w:val="auto"/>
        </w:rPr>
        <w:t>评分分值计算保留小数点后两位，小数点后第三位“四舍五入”。</w:t>
      </w:r>
    </w:p>
    <w:p>
      <w:pPr>
        <w:spacing w:line="360" w:lineRule="exact"/>
        <w:ind w:firstLine="420" w:firstLineChars="200"/>
        <w:rPr>
          <w:rFonts w:ascii="宋体" w:hAnsi="宋体"/>
          <w:color w:val="auto"/>
        </w:rPr>
      </w:pPr>
      <w:r>
        <w:rPr>
          <w:rFonts w:hint="eastAsia" w:ascii="宋体" w:hAnsi="宋体"/>
          <w:color w:val="auto"/>
        </w:rPr>
        <w:t>3.2.3 投标人得分=A+B+C。</w:t>
      </w:r>
    </w:p>
    <w:p>
      <w:pPr>
        <w:spacing w:line="360" w:lineRule="exact"/>
        <w:ind w:firstLine="420" w:firstLineChars="200"/>
        <w:rPr>
          <w:rFonts w:ascii="宋体" w:hAnsi="宋体"/>
          <w:color w:val="auto"/>
        </w:rPr>
      </w:pPr>
      <w:r>
        <w:rPr>
          <w:rFonts w:hint="eastAsia" w:ascii="宋体" w:hAnsi="宋体"/>
          <w:color w:val="auto"/>
        </w:rPr>
        <w:t>3.2.4 评标委员会发现投标人的报价明显低于其他投标</w:t>
      </w:r>
      <w:r>
        <w:rPr>
          <w:rFonts w:hint="eastAsia" w:ascii="宋体" w:hAnsi="宋体" w:cs="宋体"/>
          <w:color w:val="auto"/>
          <w:kern w:val="0"/>
          <w:szCs w:val="21"/>
        </w:rPr>
        <w:t>报价</w:t>
      </w:r>
      <w:r>
        <w:rPr>
          <w:rFonts w:hint="eastAsia" w:ascii="宋体" w:hAnsi="宋体"/>
          <w:color w:val="auto"/>
        </w:rPr>
        <w:t>或者在设有标底时明显低于标底，使得其投标</w:t>
      </w:r>
      <w:r>
        <w:rPr>
          <w:rFonts w:hint="eastAsia" w:ascii="宋体" w:hAnsi="宋体" w:cs="宋体"/>
          <w:color w:val="auto"/>
          <w:kern w:val="0"/>
          <w:szCs w:val="21"/>
        </w:rPr>
        <w:t>报价</w:t>
      </w:r>
      <w:r>
        <w:rPr>
          <w:rFonts w:hint="eastAsia" w:ascii="宋体" w:hAnsi="宋体"/>
          <w:color w:val="auto"/>
        </w:rPr>
        <w:t xml:space="preserve">可能低于其个别成本的，应当要求该投标人作出书面说明并提供相关证明材料。投标人不能合理说明或者不能提供相关证明材料的，由评标委员会认定该投标人以低于成本报价竞标，其投标应作废标处理。 </w:t>
      </w:r>
    </w:p>
    <w:p>
      <w:pPr>
        <w:keepNext/>
        <w:keepLines/>
        <w:spacing w:line="360" w:lineRule="exact"/>
        <w:outlineLvl w:val="2"/>
        <w:rPr>
          <w:rFonts w:ascii="宋体" w:hAnsi="宋体" w:cs="宋体"/>
          <w:color w:val="auto"/>
          <w:sz w:val="24"/>
        </w:rPr>
      </w:pPr>
      <w:bookmarkStart w:id="929" w:name="_Toc144974575"/>
      <w:bookmarkStart w:id="930" w:name="_Toc152042385"/>
      <w:bookmarkStart w:id="931" w:name="_Toc326826391"/>
      <w:bookmarkStart w:id="932" w:name="_Toc505330740"/>
      <w:bookmarkStart w:id="933" w:name="_Toc349217649"/>
      <w:bookmarkStart w:id="934" w:name="_Toc469668593"/>
      <w:bookmarkStart w:id="935" w:name="_Toc15878"/>
      <w:bookmarkStart w:id="936" w:name="_Toc152045607"/>
      <w:bookmarkStart w:id="937" w:name="_Toc434848812"/>
      <w:bookmarkStart w:id="938" w:name="_Toc297300753"/>
      <w:r>
        <w:rPr>
          <w:rFonts w:hint="eastAsia" w:ascii="宋体" w:hAnsi="宋体" w:cs="宋体"/>
          <w:b/>
          <w:color w:val="auto"/>
          <w:sz w:val="24"/>
        </w:rPr>
        <w:t>3.3</w:t>
      </w:r>
      <w:r>
        <w:rPr>
          <w:rFonts w:hint="eastAsia" w:ascii="宋体" w:hAnsi="宋体" w:cs="宋体"/>
          <w:color w:val="auto"/>
          <w:sz w:val="24"/>
        </w:rPr>
        <w:t xml:space="preserve">  投标文件的澄清</w:t>
      </w:r>
      <w:bookmarkEnd w:id="929"/>
      <w:r>
        <w:rPr>
          <w:rFonts w:hint="eastAsia" w:ascii="宋体" w:hAnsi="宋体" w:cs="宋体"/>
          <w:color w:val="auto"/>
          <w:sz w:val="24"/>
        </w:rPr>
        <w:t>和补正</w:t>
      </w:r>
      <w:bookmarkEnd w:id="930"/>
      <w:bookmarkEnd w:id="931"/>
      <w:bookmarkEnd w:id="932"/>
      <w:bookmarkEnd w:id="933"/>
      <w:bookmarkEnd w:id="934"/>
      <w:bookmarkEnd w:id="935"/>
      <w:bookmarkEnd w:id="936"/>
      <w:bookmarkEnd w:id="937"/>
      <w:bookmarkEnd w:id="938"/>
    </w:p>
    <w:p>
      <w:pPr>
        <w:tabs>
          <w:tab w:val="left" w:pos="1080"/>
        </w:tabs>
        <w:spacing w:line="360" w:lineRule="exact"/>
        <w:ind w:firstLine="420" w:firstLineChars="200"/>
        <w:rPr>
          <w:rFonts w:ascii="宋体" w:hAnsi="宋体"/>
          <w:color w:val="auto"/>
        </w:rPr>
      </w:pPr>
      <w:r>
        <w:rPr>
          <w:rFonts w:hint="eastAsia" w:ascii="宋体" w:hAnsi="宋体"/>
          <w:color w:val="auto"/>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exact"/>
        <w:ind w:firstLine="420" w:firstLineChars="200"/>
        <w:rPr>
          <w:rFonts w:ascii="宋体" w:hAnsi="宋体"/>
          <w:color w:val="auto"/>
        </w:rPr>
      </w:pPr>
      <w:r>
        <w:rPr>
          <w:rFonts w:hint="eastAsia" w:ascii="宋体" w:hAnsi="宋体"/>
          <w:color w:val="auto"/>
        </w:rPr>
        <w:t>3.3.2  澄清、说明和补正不得改变投标文件的实质性内容（算术性错误修正的除外）。投标人的书面澄清、说明和补正属于投标文件的组成部分。</w:t>
      </w:r>
    </w:p>
    <w:p>
      <w:pPr>
        <w:tabs>
          <w:tab w:val="left" w:pos="540"/>
          <w:tab w:val="left" w:pos="1080"/>
        </w:tabs>
        <w:spacing w:line="360" w:lineRule="exact"/>
        <w:ind w:firstLine="420" w:firstLineChars="200"/>
        <w:rPr>
          <w:rFonts w:ascii="宋体" w:hAnsi="宋体"/>
          <w:color w:val="auto"/>
        </w:rPr>
      </w:pPr>
      <w:r>
        <w:rPr>
          <w:rFonts w:hint="eastAsia" w:ascii="宋体" w:hAnsi="宋体"/>
          <w:color w:val="auto"/>
        </w:rPr>
        <w:t>3.3.3  评标委员会对投标人提交的澄清、说明或补正有疑问的，可以要求投标人进一步澄清、说明或补正，直至满足评标委员会的要求。</w:t>
      </w:r>
    </w:p>
    <w:p>
      <w:pPr>
        <w:keepNext/>
        <w:keepLines/>
        <w:spacing w:line="360" w:lineRule="exact"/>
        <w:outlineLvl w:val="2"/>
        <w:rPr>
          <w:rFonts w:ascii="宋体" w:hAnsi="宋体" w:cs="宋体"/>
          <w:color w:val="auto"/>
          <w:sz w:val="24"/>
        </w:rPr>
      </w:pPr>
      <w:bookmarkStart w:id="939" w:name="_Toc326826392"/>
      <w:bookmarkStart w:id="940" w:name="_Toc469668594"/>
      <w:bookmarkStart w:id="941" w:name="_Toc14069"/>
      <w:bookmarkStart w:id="942" w:name="_Toc349217650"/>
      <w:bookmarkStart w:id="943" w:name="_Toc144974576"/>
      <w:bookmarkStart w:id="944" w:name="_Toc505330741"/>
      <w:bookmarkStart w:id="945" w:name="_Toc152045608"/>
      <w:bookmarkStart w:id="946" w:name="_Toc434848813"/>
      <w:bookmarkStart w:id="947" w:name="_Toc152042386"/>
      <w:bookmarkStart w:id="948" w:name="_Toc297300754"/>
      <w:r>
        <w:rPr>
          <w:rFonts w:hint="eastAsia" w:ascii="宋体" w:hAnsi="宋体" w:cs="宋体"/>
          <w:b/>
          <w:color w:val="auto"/>
          <w:sz w:val="24"/>
        </w:rPr>
        <w:t xml:space="preserve">3.4 </w:t>
      </w:r>
      <w:r>
        <w:rPr>
          <w:rFonts w:hint="eastAsia" w:ascii="宋体" w:hAnsi="宋体" w:cs="宋体"/>
          <w:color w:val="auto"/>
          <w:sz w:val="24"/>
        </w:rPr>
        <w:t xml:space="preserve"> 评标结果</w:t>
      </w:r>
      <w:bookmarkEnd w:id="939"/>
      <w:bookmarkEnd w:id="940"/>
      <w:bookmarkEnd w:id="941"/>
      <w:bookmarkEnd w:id="942"/>
      <w:bookmarkEnd w:id="943"/>
      <w:bookmarkEnd w:id="944"/>
      <w:bookmarkEnd w:id="945"/>
      <w:bookmarkEnd w:id="946"/>
      <w:bookmarkEnd w:id="947"/>
      <w:bookmarkEnd w:id="948"/>
    </w:p>
    <w:p>
      <w:pPr>
        <w:spacing w:line="360" w:lineRule="exact"/>
        <w:ind w:firstLine="420" w:firstLineChars="200"/>
        <w:rPr>
          <w:rFonts w:ascii="宋体" w:hAnsi="宋体"/>
          <w:color w:val="auto"/>
        </w:rPr>
      </w:pPr>
      <w:r>
        <w:rPr>
          <w:rFonts w:hint="eastAsia" w:ascii="宋体" w:hAnsi="宋体"/>
          <w:color w:val="auto"/>
        </w:rPr>
        <w:t>3.4.1  除第二章“投标人须知”前附表授权直接确定中标人外，评标委员会按照得分由高到低的顺序推荐中标候选人。</w:t>
      </w:r>
    </w:p>
    <w:p>
      <w:pPr>
        <w:spacing w:line="360" w:lineRule="exact"/>
        <w:ind w:firstLine="420" w:firstLineChars="200"/>
        <w:rPr>
          <w:rFonts w:ascii="宋体" w:hAnsi="宋体"/>
          <w:color w:val="auto"/>
        </w:rPr>
      </w:pPr>
      <w:r>
        <w:rPr>
          <w:rFonts w:hint="eastAsia" w:ascii="宋体" w:hAnsi="宋体"/>
          <w:color w:val="auto"/>
        </w:rPr>
        <w:t>3.4.2  评标委员会完成评标后，应当向招标人提交书面评标报告。</w:t>
      </w:r>
    </w:p>
    <w:p>
      <w:pPr>
        <w:spacing w:after="160" w:line="360" w:lineRule="auto"/>
        <w:ind w:firstLine="420"/>
        <w:rPr>
          <w:rFonts w:ascii="宋体" w:hAnsi="宋体"/>
          <w:color w:val="auto"/>
        </w:rPr>
      </w:pPr>
    </w:p>
    <w:p>
      <w:pPr>
        <w:pStyle w:val="52"/>
        <w:rPr>
          <w:color w:val="auto"/>
        </w:rPr>
      </w:pPr>
      <w:bookmarkStart w:id="949" w:name="_Toc16810766"/>
    </w:p>
    <w:p>
      <w:pPr>
        <w:pStyle w:val="52"/>
        <w:rPr>
          <w:color w:val="auto"/>
        </w:rPr>
      </w:pPr>
    </w:p>
    <w:p>
      <w:pPr>
        <w:pStyle w:val="52"/>
        <w:rPr>
          <w:color w:val="auto"/>
        </w:rPr>
      </w:pPr>
    </w:p>
    <w:p>
      <w:pPr>
        <w:pStyle w:val="52"/>
        <w:rPr>
          <w:color w:val="auto"/>
        </w:rPr>
      </w:pPr>
    </w:p>
    <w:p>
      <w:pPr>
        <w:pStyle w:val="52"/>
        <w:jc w:val="both"/>
        <w:rPr>
          <w:color w:val="auto"/>
        </w:rPr>
      </w:pPr>
    </w:p>
    <w:p>
      <w:pPr>
        <w:pStyle w:val="52"/>
        <w:rPr>
          <w:color w:val="auto"/>
        </w:rPr>
      </w:pPr>
      <w:bookmarkStart w:id="950" w:name="_Toc19709_WPSOffice_Level1"/>
      <w:r>
        <w:rPr>
          <w:rFonts w:hint="eastAsia"/>
          <w:color w:val="auto"/>
          <w:sz w:val="44"/>
          <w:szCs w:val="44"/>
        </w:rPr>
        <w:t>第四章 合同条款及格式</w:t>
      </w:r>
      <w:bookmarkEnd w:id="850"/>
      <w:bookmarkEnd w:id="851"/>
      <w:bookmarkEnd w:id="861"/>
      <w:bookmarkEnd w:id="949"/>
      <w:bookmarkEnd w:id="950"/>
    </w:p>
    <w:bookmarkEnd w:id="852"/>
    <w:bookmarkEnd w:id="853"/>
    <w:bookmarkEnd w:id="854"/>
    <w:bookmarkEnd w:id="855"/>
    <w:bookmarkEnd w:id="856"/>
    <w:bookmarkEnd w:id="857"/>
    <w:bookmarkEnd w:id="858"/>
    <w:bookmarkEnd w:id="859"/>
    <w:p>
      <w:pPr>
        <w:spacing w:line="360" w:lineRule="auto"/>
        <w:jc w:val="center"/>
        <w:outlineLvl w:val="1"/>
        <w:rPr>
          <w:rFonts w:ascii="宋体" w:hAnsi="宋体" w:cs="宋体"/>
          <w:color w:val="auto"/>
          <w:sz w:val="28"/>
          <w:szCs w:val="28"/>
        </w:rPr>
      </w:pPr>
      <w:bookmarkStart w:id="951" w:name="_Toc26782"/>
      <w:bookmarkStart w:id="952" w:name="_Toc16810767"/>
      <w:bookmarkStart w:id="953" w:name="_Toc407442037"/>
      <w:bookmarkStart w:id="954" w:name="_Toc519168338"/>
      <w:bookmarkStart w:id="955" w:name="_Toc371089669"/>
      <w:bookmarkStart w:id="956" w:name="_Toc388035612"/>
      <w:bookmarkStart w:id="957" w:name="_Toc387858020"/>
      <w:bookmarkStart w:id="958" w:name="_Toc228589250"/>
      <w:bookmarkStart w:id="959" w:name="_Toc321472144"/>
      <w:bookmarkStart w:id="960" w:name="_Toc228881236"/>
      <w:bookmarkStart w:id="961" w:name="_Toc228591744"/>
      <w:bookmarkStart w:id="962" w:name="_Toc214433976"/>
      <w:bookmarkStart w:id="963" w:name="_Toc227492332"/>
      <w:bookmarkStart w:id="964" w:name="_Toc321472404"/>
      <w:bookmarkStart w:id="965" w:name="_Toc228591596"/>
      <w:bookmarkStart w:id="966" w:name="_Toc227657574"/>
      <w:bookmarkStart w:id="967" w:name="_Toc228337185"/>
      <w:r>
        <w:rPr>
          <w:rFonts w:hint="eastAsia" w:ascii="宋体" w:hAnsi="宋体" w:cs="宋体"/>
          <w:color w:val="auto"/>
          <w:sz w:val="28"/>
          <w:szCs w:val="28"/>
        </w:rPr>
        <w:t>第1节  通用合同条款</w:t>
      </w:r>
      <w:bookmarkEnd w:id="951"/>
      <w:bookmarkEnd w:id="952"/>
    </w:p>
    <w:p>
      <w:pPr>
        <w:pStyle w:val="151"/>
        <w:spacing w:line="360" w:lineRule="auto"/>
        <w:jc w:val="center"/>
        <w:rPr>
          <w:rFonts w:ascii="宋体" w:hAnsi="宋体" w:cs="宋体"/>
          <w:color w:val="auto"/>
        </w:rPr>
      </w:pPr>
      <w:r>
        <w:rPr>
          <w:rFonts w:hint="eastAsia" w:ascii="宋体" w:hAnsi="宋体" w:cs="宋体"/>
          <w:color w:val="auto"/>
        </w:rPr>
        <w:t>详见《建设工程施工合同（示范文本）》（GF-2013-0201）通用合同条款</w:t>
      </w:r>
      <w:bookmarkStart w:id="968" w:name="_Toc29230"/>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spacing w:line="360" w:lineRule="auto"/>
        <w:jc w:val="center"/>
        <w:outlineLvl w:val="1"/>
        <w:rPr>
          <w:rFonts w:ascii="宋体" w:hAnsi="宋体" w:cs="宋体"/>
          <w:color w:val="auto"/>
          <w:sz w:val="28"/>
          <w:szCs w:val="28"/>
        </w:rPr>
      </w:pPr>
      <w:bookmarkStart w:id="969" w:name="_Toc25221"/>
      <w:bookmarkStart w:id="970" w:name="_Toc16810768"/>
    </w:p>
    <w:p>
      <w:pPr>
        <w:spacing w:line="360" w:lineRule="auto"/>
        <w:jc w:val="center"/>
        <w:outlineLvl w:val="1"/>
        <w:rPr>
          <w:rFonts w:ascii="宋体" w:hAnsi="宋体" w:cs="宋体"/>
          <w:color w:val="auto"/>
          <w:sz w:val="28"/>
          <w:szCs w:val="28"/>
        </w:rPr>
      </w:pPr>
    </w:p>
    <w:p>
      <w:pPr>
        <w:spacing w:line="360" w:lineRule="auto"/>
        <w:jc w:val="center"/>
        <w:outlineLvl w:val="1"/>
        <w:rPr>
          <w:rFonts w:ascii="宋体" w:hAnsi="宋体" w:cs="宋体"/>
          <w:color w:val="auto"/>
          <w:sz w:val="28"/>
          <w:szCs w:val="28"/>
        </w:rPr>
      </w:pPr>
      <w:r>
        <w:rPr>
          <w:rFonts w:hint="eastAsia" w:ascii="宋体" w:hAnsi="宋体" w:cs="宋体"/>
          <w:color w:val="auto"/>
          <w:sz w:val="28"/>
          <w:szCs w:val="28"/>
        </w:rPr>
        <w:t>第2节  专用合同条款</w:t>
      </w:r>
      <w:bookmarkEnd w:id="968"/>
      <w:bookmarkEnd w:id="969"/>
      <w:bookmarkEnd w:id="970"/>
    </w:p>
    <w:p>
      <w:pPr>
        <w:pStyle w:val="151"/>
        <w:spacing w:line="360" w:lineRule="auto"/>
        <w:jc w:val="center"/>
        <w:rPr>
          <w:rFonts w:ascii="宋体" w:hAnsi="宋体" w:cs="宋体"/>
          <w:color w:val="auto"/>
        </w:rPr>
      </w:pPr>
      <w:r>
        <w:rPr>
          <w:rFonts w:hint="eastAsia" w:ascii="宋体" w:hAnsi="宋体" w:cs="宋体"/>
          <w:color w:val="auto"/>
        </w:rPr>
        <w:t>详见《建设工程施工合同（示范文本）》（GF-2013-0201）专用合同条款</w:t>
      </w:r>
      <w:bookmarkStart w:id="971" w:name="_Toc5315"/>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jc w:val="center"/>
        <w:rPr>
          <w:rFonts w:ascii="宋体" w:hAnsi="宋体" w:cs="宋体"/>
          <w:color w:val="auto"/>
        </w:rPr>
      </w:pPr>
    </w:p>
    <w:p>
      <w:pPr>
        <w:pStyle w:val="151"/>
        <w:spacing w:line="360" w:lineRule="auto"/>
        <w:rPr>
          <w:rFonts w:ascii="宋体" w:hAnsi="宋体" w:cs="宋体"/>
          <w:color w:val="auto"/>
        </w:rPr>
      </w:pPr>
    </w:p>
    <w:p>
      <w:pPr>
        <w:pStyle w:val="151"/>
        <w:spacing w:line="360" w:lineRule="auto"/>
        <w:jc w:val="center"/>
        <w:rPr>
          <w:rFonts w:ascii="宋体" w:hAnsi="宋体" w:cs="宋体"/>
          <w:color w:val="auto"/>
        </w:rPr>
      </w:pPr>
    </w:p>
    <w:p>
      <w:pPr>
        <w:spacing w:line="360" w:lineRule="auto"/>
        <w:jc w:val="center"/>
        <w:outlineLvl w:val="1"/>
        <w:rPr>
          <w:rFonts w:ascii="宋体" w:hAnsi="宋体" w:cs="宋体"/>
          <w:color w:val="auto"/>
          <w:sz w:val="28"/>
          <w:szCs w:val="28"/>
        </w:rPr>
      </w:pPr>
      <w:bookmarkStart w:id="972" w:name="_Toc16810769"/>
      <w:bookmarkStart w:id="973" w:name="_Toc2666"/>
      <w:r>
        <w:rPr>
          <w:rFonts w:hint="eastAsia" w:ascii="宋体" w:hAnsi="宋体" w:cs="宋体"/>
          <w:color w:val="auto"/>
          <w:sz w:val="28"/>
          <w:szCs w:val="28"/>
        </w:rPr>
        <w:t>第3节  合同附件格式</w:t>
      </w:r>
      <w:bookmarkEnd w:id="971"/>
      <w:bookmarkEnd w:id="972"/>
      <w:bookmarkEnd w:id="973"/>
    </w:p>
    <w:bookmarkEnd w:id="953"/>
    <w:bookmarkEnd w:id="954"/>
    <w:bookmarkEnd w:id="955"/>
    <w:p>
      <w:pPr>
        <w:pStyle w:val="139"/>
        <w:adjustRightInd w:val="0"/>
        <w:snapToGrid w:val="0"/>
        <w:spacing w:line="360" w:lineRule="auto"/>
        <w:jc w:val="left"/>
        <w:rPr>
          <w:rFonts w:ascii="宋体" w:hAnsi="宋体"/>
          <w:b/>
          <w:color w:val="auto"/>
          <w:szCs w:val="21"/>
        </w:rPr>
      </w:pPr>
      <w:r>
        <w:rPr>
          <w:rFonts w:hint="eastAsia" w:ascii="宋体" w:hAnsi="宋体"/>
          <w:b/>
          <w:color w:val="auto"/>
          <w:szCs w:val="21"/>
        </w:rPr>
        <w:t>附件一：</w:t>
      </w:r>
    </w:p>
    <w:p>
      <w:pPr>
        <w:pStyle w:val="139"/>
        <w:adjustRightInd w:val="0"/>
        <w:snapToGrid w:val="0"/>
        <w:spacing w:line="360" w:lineRule="auto"/>
        <w:jc w:val="center"/>
        <w:rPr>
          <w:rFonts w:ascii="宋体" w:hAnsi="宋体"/>
          <w:b/>
          <w:color w:val="auto"/>
          <w:szCs w:val="21"/>
        </w:rPr>
      </w:pPr>
      <w:r>
        <w:rPr>
          <w:rFonts w:hint="eastAsia" w:ascii="宋体" w:hAnsi="宋体"/>
          <w:b/>
          <w:color w:val="auto"/>
          <w:szCs w:val="21"/>
        </w:rPr>
        <w:t>合同协议书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（发包人名称，以下简称“发包人”）为实施</w:t>
      </w:r>
      <w:r>
        <w:rPr>
          <w:rFonts w:hint="eastAsia" w:ascii="宋体" w:hAnsi="宋体"/>
          <w:color w:val="auto"/>
          <w:szCs w:val="21"/>
          <w:u w:val="single"/>
        </w:rPr>
        <w:t xml:space="preserve"> </w:t>
      </w:r>
      <w:r>
        <w:rPr>
          <w:rFonts w:hint="eastAsia" w:ascii="宋体" w:hAnsi="宋体" w:cs="宋体"/>
          <w:color w:val="auto"/>
          <w:u w:val="single"/>
          <w:lang w:eastAsia="zh-CN"/>
        </w:rPr>
        <w:t>杞县2019年高标准农田建设项目（沙沃乡项目区）</w:t>
      </w:r>
      <w:r>
        <w:rPr>
          <w:rFonts w:hint="eastAsia" w:ascii="宋体" w:hAnsi="宋体"/>
          <w:color w:val="auto"/>
          <w:szCs w:val="21"/>
          <w:u w:val="single"/>
        </w:rPr>
        <w:t xml:space="preserve">   </w:t>
      </w:r>
      <w:r>
        <w:rPr>
          <w:rFonts w:hint="eastAsia" w:ascii="宋体" w:hAnsi="宋体"/>
          <w:color w:val="auto"/>
          <w:szCs w:val="21"/>
        </w:rPr>
        <w:t>（项目名称），己接受</w:t>
      </w:r>
      <w:r>
        <w:rPr>
          <w:rFonts w:hint="eastAsia" w:ascii="宋体" w:hAnsi="宋体"/>
          <w:color w:val="auto"/>
          <w:szCs w:val="21"/>
          <w:u w:val="single"/>
        </w:rPr>
        <w:t xml:space="preserve">                     </w:t>
      </w:r>
      <w:r>
        <w:rPr>
          <w:rFonts w:hint="eastAsia" w:ascii="宋体" w:hAnsi="宋体"/>
          <w:color w:val="auto"/>
          <w:szCs w:val="21"/>
        </w:rPr>
        <w:t>（承包人名称，以下简称“承包人”）对该项目</w:t>
      </w:r>
      <w:r>
        <w:rPr>
          <w:rFonts w:hint="eastAsia" w:ascii="宋体" w:hAnsi="宋体"/>
          <w:color w:val="auto"/>
          <w:szCs w:val="21"/>
          <w:u w:val="single"/>
        </w:rPr>
        <w:t xml:space="preserve">       </w:t>
      </w:r>
      <w:r>
        <w:rPr>
          <w:rFonts w:hint="eastAsia" w:ascii="宋体" w:hAnsi="宋体"/>
          <w:color w:val="auto"/>
          <w:szCs w:val="21"/>
        </w:rPr>
        <w:t>标段施工的投标。发包人和承包人共同达成如下协议。</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1．本协议书与下列文件一起构成合同文件：</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（l）中标通知书；</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（2）投标函及投标函附录；</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（3）专用合同条款；</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（4）通用合同条款；</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（5）技术标准和要求；</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（6）图纸；</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（7）己标价工程量清单；</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（8）其他合同文件。</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2．上述文件互相补充和解释，如有不明确或不一致之处，以合同约定次序在先者为准。</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3．签约合同价：人民币（大写）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4．承包人项目经理：</w:t>
      </w:r>
      <w:r>
        <w:rPr>
          <w:rFonts w:hint="eastAsia" w:ascii="宋体" w:hAnsi="宋体"/>
          <w:color w:val="auto"/>
          <w:szCs w:val="21"/>
          <w:u w:val="single"/>
        </w:rPr>
        <w:t xml:space="preserve">                     </w:t>
      </w:r>
      <w:r>
        <w:rPr>
          <w:rFonts w:hint="eastAsia" w:ascii="宋体" w:hAnsi="宋体"/>
          <w:color w:val="auto"/>
          <w:szCs w:val="21"/>
        </w:rPr>
        <w:t>；注册证书编号：</w:t>
      </w:r>
      <w:r>
        <w:rPr>
          <w:rFonts w:hint="eastAsia" w:ascii="宋体" w:hAnsi="宋体"/>
          <w:color w:val="auto"/>
          <w:szCs w:val="21"/>
          <w:u w:val="single"/>
        </w:rPr>
        <w:t xml:space="preserve">                  </w:t>
      </w:r>
      <w:r>
        <w:rPr>
          <w:rFonts w:hint="eastAsia" w:ascii="宋体" w:hAnsi="宋体"/>
          <w:color w:val="auto"/>
          <w:szCs w:val="21"/>
        </w:rPr>
        <w:t>。</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5．工程质量符合</w:t>
      </w:r>
      <w:r>
        <w:rPr>
          <w:rFonts w:hint="eastAsia" w:ascii="宋体" w:hAnsi="宋体"/>
          <w:color w:val="auto"/>
          <w:szCs w:val="21"/>
          <w:u w:val="single"/>
        </w:rPr>
        <w:t xml:space="preserve">                     </w:t>
      </w:r>
      <w:r>
        <w:rPr>
          <w:rFonts w:hint="eastAsia" w:ascii="宋体" w:hAnsi="宋体"/>
          <w:color w:val="auto"/>
          <w:szCs w:val="21"/>
        </w:rPr>
        <w:t>标准。</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6.工期：</w:t>
      </w:r>
      <w:r>
        <w:rPr>
          <w:rFonts w:hint="eastAsia" w:ascii="宋体" w:hAnsi="宋体"/>
          <w:color w:val="auto"/>
          <w:szCs w:val="21"/>
          <w:u w:val="single"/>
        </w:rPr>
        <w:t xml:space="preserve">            </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7．承包人承诺按合同约定承担工程的实施、完成及缺陷修复。</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8．发包人承诺按合同约定的条件、时间和方式向承包人支付合同价款。</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9．承包人应按照监理人指示开工，工期为</w:t>
      </w:r>
      <w:r>
        <w:rPr>
          <w:rFonts w:hint="eastAsia" w:ascii="宋体" w:hAnsi="宋体"/>
          <w:color w:val="auto"/>
          <w:szCs w:val="21"/>
          <w:u w:val="single"/>
        </w:rPr>
        <w:t xml:space="preserve">    </w:t>
      </w:r>
      <w:r>
        <w:rPr>
          <w:rFonts w:hint="eastAsia" w:ascii="宋体" w:hAnsi="宋体"/>
          <w:color w:val="auto"/>
          <w:szCs w:val="21"/>
        </w:rPr>
        <w:t>日历天。</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10．本协议书一式</w:t>
      </w:r>
      <w:r>
        <w:rPr>
          <w:rFonts w:hint="eastAsia" w:ascii="宋体" w:hAnsi="宋体"/>
          <w:color w:val="auto"/>
          <w:szCs w:val="21"/>
          <w:u w:val="single"/>
        </w:rPr>
        <w:t xml:space="preserve">     </w:t>
      </w:r>
      <w:r>
        <w:rPr>
          <w:rFonts w:hint="eastAsia" w:ascii="宋体" w:hAnsi="宋体"/>
          <w:color w:val="auto"/>
          <w:szCs w:val="21"/>
        </w:rPr>
        <w:t>份，合同双方各执一份。</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11．合同未尽事宜，双方另行签订补充协议。补充协议是合同的组成部分。</w:t>
      </w:r>
    </w:p>
    <w:p>
      <w:pPr>
        <w:pStyle w:val="139"/>
        <w:adjustRightInd w:val="0"/>
        <w:snapToGrid w:val="0"/>
        <w:spacing w:line="360" w:lineRule="auto"/>
        <w:ind w:firstLine="1155" w:firstLineChars="550"/>
        <w:jc w:val="left"/>
        <w:rPr>
          <w:rFonts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（盖单位章）  承包人：</w:t>
      </w:r>
      <w:r>
        <w:rPr>
          <w:rFonts w:hint="eastAsia" w:ascii="宋体" w:hAnsi="宋体"/>
          <w:color w:val="auto"/>
          <w:szCs w:val="21"/>
          <w:u w:val="single"/>
        </w:rPr>
        <w:t xml:space="preserve">             </w:t>
      </w:r>
      <w:r>
        <w:rPr>
          <w:rFonts w:hint="eastAsia" w:ascii="宋体" w:hAnsi="宋体"/>
          <w:color w:val="auto"/>
          <w:szCs w:val="21"/>
        </w:rPr>
        <w:t>（盖单位章）</w:t>
      </w:r>
    </w:p>
    <w:p>
      <w:pPr>
        <w:pStyle w:val="139"/>
        <w:adjustRightInd w:val="0"/>
        <w:snapToGrid w:val="0"/>
        <w:spacing w:line="360" w:lineRule="auto"/>
        <w:ind w:firstLine="1188" w:firstLineChars="600"/>
        <w:jc w:val="left"/>
        <w:rPr>
          <w:rFonts w:ascii="宋体" w:hAnsi="宋体"/>
          <w:color w:val="auto"/>
          <w:spacing w:val="-6"/>
          <w:szCs w:val="21"/>
        </w:rPr>
      </w:pPr>
      <w:r>
        <w:rPr>
          <w:rFonts w:hint="eastAsia" w:ascii="宋体" w:hAnsi="宋体"/>
          <w:color w:val="auto"/>
          <w:spacing w:val="-6"/>
          <w:szCs w:val="21"/>
        </w:rPr>
        <w:t>法定代表人                             法定代表人</w:t>
      </w:r>
    </w:p>
    <w:p>
      <w:pPr>
        <w:pStyle w:val="139"/>
        <w:adjustRightInd w:val="0"/>
        <w:snapToGrid w:val="0"/>
        <w:spacing w:line="360" w:lineRule="auto"/>
        <w:ind w:firstLine="1188" w:firstLineChars="600"/>
        <w:jc w:val="left"/>
        <w:rPr>
          <w:rFonts w:ascii="宋体" w:hAnsi="宋体"/>
          <w:color w:val="auto"/>
          <w:spacing w:val="-6"/>
          <w:szCs w:val="21"/>
        </w:rPr>
      </w:pPr>
      <w:r>
        <w:rPr>
          <w:rFonts w:hint="eastAsia" w:ascii="宋体" w:hAnsi="宋体"/>
          <w:color w:val="auto"/>
          <w:spacing w:val="-6"/>
          <w:szCs w:val="21"/>
        </w:rPr>
        <w:t>或其委托代理人：</w:t>
      </w:r>
      <w:r>
        <w:rPr>
          <w:rFonts w:hint="eastAsia" w:ascii="宋体" w:hAnsi="宋体"/>
          <w:color w:val="auto"/>
          <w:spacing w:val="-6"/>
          <w:szCs w:val="21"/>
          <w:u w:val="single"/>
        </w:rPr>
        <w:t xml:space="preserve">            </w:t>
      </w:r>
      <w:r>
        <w:rPr>
          <w:rFonts w:hint="eastAsia" w:ascii="宋体" w:hAnsi="宋体"/>
          <w:color w:val="auto"/>
          <w:spacing w:val="-6"/>
          <w:szCs w:val="21"/>
        </w:rPr>
        <w:t>（签字）   或其委托代理人：</w:t>
      </w:r>
      <w:r>
        <w:rPr>
          <w:rFonts w:hint="eastAsia" w:ascii="宋体" w:hAnsi="宋体"/>
          <w:color w:val="auto"/>
          <w:spacing w:val="-6"/>
          <w:szCs w:val="21"/>
          <w:u w:val="single"/>
        </w:rPr>
        <w:t xml:space="preserve">             </w:t>
      </w:r>
      <w:r>
        <w:rPr>
          <w:rFonts w:hint="eastAsia" w:ascii="宋体" w:hAnsi="宋体"/>
          <w:color w:val="auto"/>
          <w:spacing w:val="-6"/>
          <w:szCs w:val="21"/>
        </w:rPr>
        <w:t>（签字）</w:t>
      </w:r>
    </w:p>
    <w:p>
      <w:pPr>
        <w:pStyle w:val="139"/>
        <w:adjustRightInd w:val="0"/>
        <w:snapToGrid w:val="0"/>
        <w:spacing w:line="360" w:lineRule="auto"/>
        <w:ind w:right="480" w:firstLine="1680" w:firstLineChars="800"/>
        <w:jc w:val="left"/>
        <w:rPr>
          <w:rFonts w:ascii="宋体" w:hAnsi="宋体"/>
          <w:color w:val="auto"/>
          <w:szCs w:val="21"/>
          <w:u w:val="single"/>
        </w:rPr>
      </w:pPr>
    </w:p>
    <w:p>
      <w:pPr>
        <w:pStyle w:val="139"/>
        <w:adjustRightInd w:val="0"/>
        <w:snapToGrid w:val="0"/>
        <w:spacing w:line="360" w:lineRule="auto"/>
        <w:ind w:right="480" w:firstLine="1680" w:firstLineChars="800"/>
        <w:jc w:val="left"/>
        <w:rPr>
          <w:rFonts w:ascii="宋体" w:hAnsi="宋体"/>
          <w:color w:val="auto"/>
          <w:szCs w:val="21"/>
        </w:rPr>
      </w:pP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139"/>
        <w:adjustRightInd w:val="0"/>
        <w:snapToGrid w:val="0"/>
        <w:spacing w:line="360" w:lineRule="auto"/>
        <w:ind w:right="480"/>
        <w:jc w:val="left"/>
        <w:rPr>
          <w:rFonts w:ascii="宋体" w:hAnsi="宋体"/>
          <w:color w:val="auto"/>
          <w:szCs w:val="21"/>
        </w:rPr>
      </w:pPr>
    </w:p>
    <w:p>
      <w:pPr>
        <w:pStyle w:val="139"/>
        <w:adjustRightInd w:val="0"/>
        <w:snapToGrid w:val="0"/>
        <w:spacing w:line="360" w:lineRule="auto"/>
        <w:ind w:right="480"/>
        <w:jc w:val="left"/>
        <w:rPr>
          <w:rFonts w:ascii="宋体" w:hAnsi="宋体"/>
          <w:color w:val="auto"/>
          <w:szCs w:val="21"/>
        </w:rPr>
      </w:pPr>
    </w:p>
    <w:p>
      <w:pPr>
        <w:pStyle w:val="139"/>
        <w:adjustRightInd w:val="0"/>
        <w:snapToGrid w:val="0"/>
        <w:spacing w:line="360" w:lineRule="auto"/>
        <w:ind w:right="480"/>
        <w:jc w:val="left"/>
        <w:rPr>
          <w:rFonts w:ascii="宋体" w:hAnsi="宋体"/>
          <w:color w:val="auto"/>
          <w:szCs w:val="21"/>
        </w:rPr>
      </w:pPr>
    </w:p>
    <w:p>
      <w:pPr>
        <w:pStyle w:val="139"/>
        <w:adjustRightInd w:val="0"/>
        <w:snapToGrid w:val="0"/>
        <w:spacing w:line="360" w:lineRule="auto"/>
        <w:ind w:right="480"/>
        <w:jc w:val="left"/>
        <w:rPr>
          <w:rFonts w:ascii="宋体" w:hAnsi="宋体"/>
          <w:color w:val="auto"/>
          <w:szCs w:val="21"/>
        </w:rPr>
      </w:pPr>
    </w:p>
    <w:p>
      <w:pPr>
        <w:pStyle w:val="139"/>
        <w:adjustRightInd w:val="0"/>
        <w:snapToGrid w:val="0"/>
        <w:spacing w:line="360" w:lineRule="auto"/>
        <w:jc w:val="left"/>
        <w:rPr>
          <w:rFonts w:ascii="宋体" w:hAnsi="宋体"/>
          <w:b/>
          <w:color w:val="auto"/>
          <w:szCs w:val="21"/>
        </w:rPr>
      </w:pPr>
      <w:r>
        <w:rPr>
          <w:rFonts w:hint="eastAsia" w:ascii="宋体" w:hAnsi="宋体"/>
          <w:b/>
          <w:color w:val="auto"/>
          <w:szCs w:val="21"/>
        </w:rPr>
        <w:t>附件二：</w:t>
      </w:r>
    </w:p>
    <w:p>
      <w:pPr>
        <w:pStyle w:val="139"/>
        <w:adjustRightInd w:val="0"/>
        <w:snapToGrid w:val="0"/>
        <w:spacing w:line="360" w:lineRule="auto"/>
        <w:jc w:val="center"/>
        <w:rPr>
          <w:rFonts w:ascii="宋体" w:hAnsi="宋体"/>
          <w:b/>
          <w:color w:val="auto"/>
          <w:szCs w:val="21"/>
        </w:rPr>
      </w:pPr>
      <w:r>
        <w:rPr>
          <w:rFonts w:hint="eastAsia" w:ascii="宋体" w:hAnsi="宋体"/>
          <w:b/>
          <w:color w:val="auto"/>
          <w:szCs w:val="21"/>
        </w:rPr>
        <w:t>履约担保</w:t>
      </w:r>
    </w:p>
    <w:p>
      <w:pPr>
        <w:pStyle w:val="139"/>
        <w:adjustRightInd w:val="0"/>
        <w:snapToGrid w:val="0"/>
        <w:spacing w:line="360" w:lineRule="auto"/>
        <w:ind w:firstLine="200"/>
        <w:jc w:val="left"/>
        <w:rPr>
          <w:rFonts w:ascii="宋体" w:hAnsi="宋体"/>
          <w:color w:val="auto"/>
          <w:szCs w:val="21"/>
        </w:rPr>
      </w:pPr>
      <w:r>
        <w:rPr>
          <w:rFonts w:hint="eastAsia" w:ascii="宋体" w:hAnsi="宋体"/>
          <w:color w:val="auto"/>
          <w:szCs w:val="21"/>
        </w:rPr>
        <w:t>（发包人名称）:</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鉴于</w:t>
      </w:r>
      <w:r>
        <w:rPr>
          <w:rFonts w:hint="eastAsia" w:ascii="宋体" w:hAnsi="宋体"/>
          <w:color w:val="auto"/>
          <w:szCs w:val="21"/>
          <w:u w:val="single"/>
        </w:rPr>
        <w:t xml:space="preserve">                       </w:t>
      </w:r>
      <w:r>
        <w:rPr>
          <w:rFonts w:hint="eastAsia" w:ascii="宋体" w:hAnsi="宋体"/>
          <w:color w:val="auto"/>
          <w:szCs w:val="21"/>
        </w:rPr>
        <w:t>（发包人名称，以下简称“发包人”）接受</w:t>
      </w:r>
      <w:r>
        <w:rPr>
          <w:rFonts w:hint="eastAsia" w:ascii="宋体" w:hAnsi="宋体"/>
          <w:color w:val="auto"/>
          <w:szCs w:val="21"/>
          <w:u w:val="single"/>
        </w:rPr>
        <w:t xml:space="preserve">                  </w:t>
      </w:r>
      <w:r>
        <w:rPr>
          <w:rFonts w:hint="eastAsia" w:ascii="宋体" w:hAnsi="宋体"/>
          <w:color w:val="auto"/>
          <w:szCs w:val="21"/>
        </w:rPr>
        <w:t>（承包人名称）（以下称“承包人”）于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日参加</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标段施工的投标。我方愿意无条件地、不可撤销地就承包人履行与你方订立的合同，向你方提供担保。</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1．担保金额人民币（大写）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2．担保有效期自发包人与承包人签订的合同生效之日起至发包人签发工程接收证书之日止。</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3．在本担保有效期内，因承包人违反合同约定的义务给你方造成经济损失时，我方在收到你方以书面形式提出的在担保金额内的赔偿要求后，在7天内无条件支付。</w:t>
      </w:r>
    </w:p>
    <w:p>
      <w:pPr>
        <w:pStyle w:val="139"/>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4．发包人和承包人按《通用合同条款》第15条变更合同时，我方承担本担保规定的义务不变。</w:t>
      </w:r>
    </w:p>
    <w:p>
      <w:pPr>
        <w:pStyle w:val="139"/>
        <w:adjustRightInd w:val="0"/>
        <w:snapToGrid w:val="0"/>
        <w:spacing w:line="360" w:lineRule="auto"/>
        <w:jc w:val="left"/>
        <w:rPr>
          <w:rFonts w:ascii="宋体" w:hAnsi="宋体"/>
          <w:color w:val="auto"/>
          <w:szCs w:val="21"/>
        </w:rPr>
      </w:pPr>
    </w:p>
    <w:p>
      <w:pPr>
        <w:pStyle w:val="139"/>
        <w:adjustRightInd w:val="0"/>
        <w:snapToGrid w:val="0"/>
        <w:spacing w:line="360" w:lineRule="auto"/>
        <w:ind w:firstLine="4200" w:firstLineChars="2000"/>
        <w:jc w:val="left"/>
        <w:rPr>
          <w:rFonts w:ascii="宋体" w:hAnsi="宋体"/>
          <w:color w:val="auto"/>
          <w:szCs w:val="21"/>
        </w:rPr>
      </w:pPr>
      <w:r>
        <w:rPr>
          <w:rFonts w:hint="eastAsia" w:ascii="宋体" w:hAnsi="宋体"/>
          <w:color w:val="auto"/>
          <w:szCs w:val="21"/>
        </w:rPr>
        <w:t>担保人：</w:t>
      </w:r>
      <w:r>
        <w:rPr>
          <w:rFonts w:hint="eastAsia" w:ascii="宋体" w:hAnsi="宋体"/>
          <w:color w:val="auto"/>
          <w:szCs w:val="21"/>
          <w:u w:val="single"/>
        </w:rPr>
        <w:t xml:space="preserve">                           </w:t>
      </w:r>
      <w:r>
        <w:rPr>
          <w:rFonts w:hint="eastAsia" w:ascii="宋体" w:hAnsi="宋体"/>
          <w:color w:val="auto"/>
          <w:szCs w:val="21"/>
        </w:rPr>
        <w:t>（盖单位章）</w:t>
      </w:r>
    </w:p>
    <w:p>
      <w:pPr>
        <w:pStyle w:val="139"/>
        <w:adjustRightInd w:val="0"/>
        <w:snapToGrid w:val="0"/>
        <w:spacing w:line="360" w:lineRule="auto"/>
        <w:ind w:firstLine="4200" w:firstLineChars="2000"/>
        <w:jc w:val="left"/>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pPr>
        <w:pStyle w:val="139"/>
        <w:adjustRightInd w:val="0"/>
        <w:snapToGrid w:val="0"/>
        <w:spacing w:line="360" w:lineRule="auto"/>
        <w:ind w:firstLine="4200" w:firstLineChars="2000"/>
        <w:jc w:val="left"/>
        <w:rPr>
          <w:rFonts w:ascii="宋体" w:hAnsi="宋体"/>
          <w:color w:val="auto"/>
          <w:szCs w:val="21"/>
        </w:rPr>
      </w:pPr>
      <w:r>
        <w:rPr>
          <w:rFonts w:hint="eastAsia" w:ascii="宋体" w:hAnsi="宋体"/>
          <w:color w:val="auto"/>
          <w:szCs w:val="21"/>
        </w:rPr>
        <w:t>地    址：</w:t>
      </w:r>
    </w:p>
    <w:p>
      <w:pPr>
        <w:pStyle w:val="139"/>
        <w:adjustRightInd w:val="0"/>
        <w:snapToGrid w:val="0"/>
        <w:spacing w:line="360" w:lineRule="auto"/>
        <w:ind w:firstLine="4200" w:firstLineChars="2000"/>
        <w:jc w:val="left"/>
        <w:rPr>
          <w:rFonts w:ascii="宋体" w:hAnsi="宋体"/>
          <w:color w:val="auto"/>
          <w:szCs w:val="21"/>
        </w:rPr>
      </w:pPr>
      <w:r>
        <w:rPr>
          <w:rFonts w:hint="eastAsia" w:ascii="宋体" w:hAnsi="宋体"/>
          <w:color w:val="auto"/>
          <w:szCs w:val="21"/>
        </w:rPr>
        <w:t>邮政编码：</w:t>
      </w:r>
    </w:p>
    <w:p>
      <w:pPr>
        <w:pStyle w:val="139"/>
        <w:adjustRightInd w:val="0"/>
        <w:snapToGrid w:val="0"/>
        <w:spacing w:line="360" w:lineRule="auto"/>
        <w:ind w:firstLine="4200" w:firstLineChars="2000"/>
        <w:jc w:val="left"/>
        <w:rPr>
          <w:rFonts w:ascii="宋体" w:hAnsi="宋体"/>
          <w:color w:val="auto"/>
          <w:szCs w:val="21"/>
        </w:rPr>
      </w:pPr>
      <w:r>
        <w:rPr>
          <w:rFonts w:hint="eastAsia" w:ascii="宋体" w:hAnsi="宋体"/>
          <w:color w:val="auto"/>
          <w:szCs w:val="21"/>
        </w:rPr>
        <w:t>电    话：</w:t>
      </w:r>
    </w:p>
    <w:p>
      <w:pPr>
        <w:pStyle w:val="139"/>
        <w:adjustRightInd w:val="0"/>
        <w:snapToGrid w:val="0"/>
        <w:spacing w:line="360" w:lineRule="auto"/>
        <w:ind w:firstLine="4200" w:firstLineChars="2000"/>
        <w:jc w:val="left"/>
        <w:rPr>
          <w:rFonts w:ascii="宋体" w:hAnsi="宋体"/>
          <w:color w:val="auto"/>
          <w:szCs w:val="21"/>
        </w:rPr>
      </w:pPr>
      <w:r>
        <w:rPr>
          <w:rFonts w:hint="eastAsia" w:ascii="宋体" w:hAnsi="宋体"/>
          <w:color w:val="auto"/>
          <w:szCs w:val="21"/>
        </w:rPr>
        <w:t>传    真:</w:t>
      </w:r>
    </w:p>
    <w:p>
      <w:pPr>
        <w:pStyle w:val="139"/>
        <w:adjustRightInd w:val="0"/>
        <w:snapToGrid w:val="0"/>
        <w:spacing w:line="360" w:lineRule="auto"/>
        <w:ind w:left="2100" w:firstLine="4620" w:firstLineChars="22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8"/>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bookmarkEnd w:id="956"/>
    <w:bookmarkEnd w:id="957"/>
    <w:p>
      <w:pPr>
        <w:jc w:val="left"/>
        <w:rPr>
          <w:color w:val="auto"/>
        </w:rPr>
      </w:pPr>
      <w:bookmarkStart w:id="974" w:name="_Toc387858101"/>
      <w:bookmarkStart w:id="975" w:name="_Toc388035613"/>
    </w:p>
    <w:p>
      <w:pPr>
        <w:pStyle w:val="52"/>
        <w:numPr>
          <w:ilvl w:val="0"/>
          <w:numId w:val="4"/>
        </w:numPr>
        <w:rPr>
          <w:color w:val="auto"/>
          <w:sz w:val="44"/>
          <w:szCs w:val="44"/>
        </w:rPr>
      </w:pPr>
      <w:r>
        <w:rPr>
          <w:rFonts w:hint="eastAsia"/>
          <w:color w:val="auto"/>
          <w:sz w:val="44"/>
          <w:szCs w:val="44"/>
        </w:rPr>
        <w:t xml:space="preserve">  </w:t>
      </w:r>
      <w:bookmarkStart w:id="976" w:name="_Toc16810770"/>
      <w:bookmarkStart w:id="977" w:name="_Toc17623_WPSOffice_Level1"/>
      <w:r>
        <w:rPr>
          <w:rFonts w:hint="eastAsia"/>
          <w:color w:val="auto"/>
          <w:sz w:val="44"/>
          <w:szCs w:val="44"/>
        </w:rPr>
        <w:t>工程量清单（见附件）</w:t>
      </w:r>
      <w:bookmarkEnd w:id="976"/>
      <w:bookmarkEnd w:id="977"/>
      <w:r>
        <w:rPr>
          <w:rFonts w:hint="eastAsia"/>
          <w:color w:val="auto"/>
          <w:sz w:val="44"/>
          <w:szCs w:val="44"/>
        </w:rPr>
        <w:t xml:space="preserve"> </w:t>
      </w:r>
    </w:p>
    <w:p>
      <w:pPr>
        <w:autoSpaceDE w:val="0"/>
        <w:autoSpaceDN w:val="0"/>
        <w:adjustRightInd w:val="0"/>
        <w:spacing w:before="9" w:line="140" w:lineRule="exact"/>
        <w:jc w:val="left"/>
        <w:rPr>
          <w:rFonts w:ascii="宋体" w:hAnsi="宋体"/>
          <w:color w:val="auto"/>
          <w:kern w:val="0"/>
          <w:sz w:val="14"/>
          <w:szCs w:val="14"/>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pStyle w:val="52"/>
        <w:numPr>
          <w:ilvl w:val="0"/>
          <w:numId w:val="4"/>
        </w:numPr>
        <w:rPr>
          <w:color w:val="auto"/>
          <w:sz w:val="44"/>
          <w:szCs w:val="44"/>
        </w:rPr>
      </w:pPr>
      <w:bookmarkStart w:id="978" w:name="_Toc30632_WPSOffice_Level1"/>
      <w:bookmarkStart w:id="979" w:name="_Toc16810771"/>
      <w:r>
        <w:rPr>
          <w:rFonts w:hint="eastAsia"/>
          <w:color w:val="auto"/>
          <w:sz w:val="44"/>
          <w:szCs w:val="44"/>
        </w:rPr>
        <w:t>图纸（见附件）</w:t>
      </w:r>
      <w:bookmarkEnd w:id="958"/>
      <w:bookmarkEnd w:id="959"/>
      <w:bookmarkEnd w:id="960"/>
      <w:bookmarkEnd w:id="961"/>
      <w:bookmarkEnd w:id="962"/>
      <w:bookmarkEnd w:id="963"/>
      <w:bookmarkEnd w:id="964"/>
      <w:bookmarkEnd w:id="965"/>
      <w:bookmarkEnd w:id="966"/>
      <w:bookmarkEnd w:id="967"/>
      <w:bookmarkEnd w:id="974"/>
      <w:bookmarkEnd w:id="975"/>
      <w:bookmarkEnd w:id="978"/>
      <w:bookmarkEnd w:id="979"/>
      <w:bookmarkStart w:id="980" w:name="_Toc387858103"/>
      <w:bookmarkStart w:id="981" w:name="_Toc227492333"/>
      <w:bookmarkStart w:id="982" w:name="_Toc321472405"/>
      <w:bookmarkStart w:id="983" w:name="_Toc228591597"/>
      <w:bookmarkStart w:id="984" w:name="_Toc228591745"/>
      <w:bookmarkStart w:id="985" w:name="_Toc228881237"/>
      <w:bookmarkStart w:id="986" w:name="_Toc227657575"/>
      <w:bookmarkStart w:id="987" w:name="_Toc228589251"/>
      <w:bookmarkStart w:id="988" w:name="_Toc214433977"/>
      <w:bookmarkStart w:id="989" w:name="_Toc228337186"/>
    </w:p>
    <w:p>
      <w:pPr>
        <w:rPr>
          <w:color w:val="auto"/>
        </w:rPr>
      </w:pPr>
    </w:p>
    <w:p>
      <w:pPr>
        <w:rPr>
          <w:color w:val="auto"/>
        </w:rPr>
      </w:pPr>
    </w:p>
    <w:p>
      <w:pPr>
        <w:pStyle w:val="8"/>
        <w:spacing w:line="360" w:lineRule="exact"/>
        <w:jc w:val="left"/>
        <w:rPr>
          <w:color w:val="auto"/>
        </w:rPr>
      </w:pPr>
      <w:bookmarkStart w:id="990" w:name="_Toc388035615"/>
    </w:p>
    <w:p>
      <w:pPr>
        <w:pStyle w:val="52"/>
        <w:rPr>
          <w:color w:val="auto"/>
        </w:rPr>
      </w:pPr>
      <w:r>
        <w:rPr>
          <w:color w:val="auto"/>
        </w:rPr>
        <w:br w:type="page"/>
      </w:r>
      <w:bookmarkStart w:id="991" w:name="_Toc16810772"/>
      <w:bookmarkStart w:id="992" w:name="_Toc4104_WPSOffice_Level1"/>
      <w:r>
        <w:rPr>
          <w:rFonts w:hint="eastAsia"/>
          <w:color w:val="auto"/>
          <w:sz w:val="44"/>
          <w:szCs w:val="44"/>
        </w:rPr>
        <w:t>第七章 技术标准和要求</w:t>
      </w:r>
      <w:bookmarkEnd w:id="980"/>
      <w:bookmarkEnd w:id="981"/>
      <w:bookmarkEnd w:id="982"/>
      <w:bookmarkEnd w:id="983"/>
      <w:bookmarkEnd w:id="984"/>
      <w:bookmarkEnd w:id="985"/>
      <w:bookmarkEnd w:id="986"/>
      <w:bookmarkEnd w:id="987"/>
      <w:bookmarkEnd w:id="988"/>
      <w:bookmarkEnd w:id="989"/>
      <w:bookmarkEnd w:id="990"/>
      <w:bookmarkEnd w:id="991"/>
      <w:bookmarkEnd w:id="992"/>
      <w:bookmarkStart w:id="993" w:name="_Toc227657578"/>
      <w:bookmarkStart w:id="994" w:name="_Toc228337189"/>
      <w:bookmarkStart w:id="995" w:name="_Toc214433980"/>
      <w:bookmarkStart w:id="996" w:name="_Toc321472408"/>
      <w:bookmarkStart w:id="997" w:name="_Toc228589254"/>
      <w:bookmarkStart w:id="998" w:name="_Toc228881240"/>
      <w:bookmarkStart w:id="999" w:name="_Toc228591748"/>
      <w:bookmarkStart w:id="1000" w:name="_Toc227492336"/>
      <w:bookmarkStart w:id="1001" w:name="_Toc387858108"/>
      <w:bookmarkStart w:id="1002" w:name="_Toc228591600"/>
    </w:p>
    <w:p>
      <w:pPr>
        <w:jc w:val="left"/>
        <w:rPr>
          <w:rFonts w:ascii="宋体" w:hAnsi="宋体"/>
          <w:b/>
          <w:color w:val="auto"/>
          <w:sz w:val="24"/>
          <w:szCs w:val="24"/>
        </w:rPr>
      </w:pPr>
      <w:bookmarkStart w:id="1003" w:name="_Toc388035619"/>
    </w:p>
    <w:p>
      <w:pPr>
        <w:pStyle w:val="156"/>
        <w:snapToGrid w:val="0"/>
        <w:spacing w:before="280" w:beforeAutospacing="1" w:after="280" w:afterAutospacing="1" w:line="360" w:lineRule="auto"/>
        <w:jc w:val="left"/>
        <w:rPr>
          <w:rFonts w:ascii="新宋体" w:hAnsi="新宋体" w:eastAsia="新宋体"/>
          <w:color w:val="auto"/>
          <w:sz w:val="21"/>
          <w:szCs w:val="21"/>
        </w:rPr>
      </w:pPr>
      <w:r>
        <w:rPr>
          <w:rFonts w:ascii="新宋体" w:hAnsi="新宋体" w:eastAsia="新宋体"/>
          <w:color w:val="auto"/>
          <w:sz w:val="21"/>
          <w:szCs w:val="21"/>
        </w:rPr>
        <w:t>1、本工程项目的材料、设备、施工必须达到现行中华人民共和国及省、市、行业的一切有关法规、规范的要求。</w:t>
      </w:r>
      <w:bookmarkStart w:id="1004" w:name="_Toc373826250"/>
    </w:p>
    <w:p>
      <w:pPr>
        <w:pStyle w:val="156"/>
        <w:snapToGrid w:val="0"/>
        <w:spacing w:before="280" w:beforeAutospacing="1" w:after="280" w:afterAutospacing="1" w:line="360" w:lineRule="auto"/>
        <w:jc w:val="left"/>
        <w:rPr>
          <w:rFonts w:ascii="新宋体" w:hAnsi="新宋体" w:eastAsia="新宋体"/>
          <w:color w:val="auto"/>
        </w:rPr>
      </w:pPr>
      <w:r>
        <w:rPr>
          <w:rFonts w:ascii="新宋体" w:hAnsi="新宋体" w:eastAsia="新宋体"/>
          <w:color w:val="auto"/>
          <w:sz w:val="21"/>
          <w:szCs w:val="21"/>
        </w:rPr>
        <w:t>2、质量标准满足相关施工验收规范，达到质量合格标准。</w:t>
      </w:r>
      <w:bookmarkEnd w:id="1004"/>
      <w:r>
        <w:rPr>
          <w:rFonts w:hint="eastAsia" w:ascii="新宋体" w:hAnsi="新宋体" w:eastAsia="新宋体"/>
          <w:color w:val="auto"/>
          <w:sz w:val="21"/>
          <w:szCs w:val="21"/>
        </w:rPr>
        <w:t>具体要求详见施工图纸</w:t>
      </w:r>
    </w:p>
    <w:p>
      <w:pPr>
        <w:snapToGrid w:val="0"/>
        <w:spacing w:after="160" w:line="360" w:lineRule="auto"/>
        <w:ind w:left="-220" w:firstLine="630"/>
        <w:rPr>
          <w:rFonts w:ascii="新宋体" w:hAnsi="新宋体" w:eastAsia="新宋体"/>
          <w:color w:val="auto"/>
        </w:rPr>
      </w:pPr>
      <w:r>
        <w:rPr>
          <w:rFonts w:ascii="新宋体" w:hAnsi="新宋体" w:eastAsia="新宋体"/>
          <w:color w:val="auto"/>
        </w:rPr>
        <w:t>以上规范以最新发布的为准。（未尽事项以国家现行规范为准）</w:t>
      </w:r>
    </w:p>
    <w:p>
      <w:pPr>
        <w:jc w:val="left"/>
        <w:rPr>
          <w:rFonts w:ascii="宋体" w:hAnsi="宋体"/>
          <w:b/>
          <w:color w:val="auto"/>
          <w:szCs w:val="24"/>
        </w:rPr>
      </w:pPr>
    </w:p>
    <w:p>
      <w:pPr>
        <w:jc w:val="left"/>
        <w:rPr>
          <w:rFonts w:ascii="宋体" w:hAnsi="宋体"/>
          <w:b/>
          <w:color w:val="auto"/>
          <w:szCs w:val="24"/>
        </w:rPr>
        <w:sectPr>
          <w:footerReference r:id="rId16" w:type="default"/>
          <w:pgSz w:w="11906" w:h="16838"/>
          <w:pgMar w:top="1134" w:right="1418" w:bottom="1134" w:left="1418" w:header="851" w:footer="992" w:gutter="0"/>
          <w:cols w:space="720" w:num="1"/>
          <w:titlePg/>
          <w:docGrid w:linePitch="312" w:charSpace="0"/>
        </w:sectPr>
      </w:pPr>
    </w:p>
    <w:p>
      <w:pPr>
        <w:pStyle w:val="52"/>
        <w:rPr>
          <w:color w:val="auto"/>
          <w:sz w:val="44"/>
          <w:szCs w:val="44"/>
        </w:rPr>
      </w:pPr>
      <w:bookmarkStart w:id="1005" w:name="_Toc29856_WPSOffice_Level1"/>
      <w:bookmarkStart w:id="1006" w:name="_Toc16810773"/>
      <w:r>
        <w:rPr>
          <w:rFonts w:hint="eastAsia"/>
          <w:color w:val="auto"/>
          <w:sz w:val="44"/>
          <w:szCs w:val="44"/>
        </w:rPr>
        <w:t>第八章 投标文件格式</w:t>
      </w:r>
      <w:bookmarkEnd w:id="993"/>
      <w:bookmarkEnd w:id="994"/>
      <w:bookmarkEnd w:id="995"/>
      <w:bookmarkEnd w:id="996"/>
      <w:bookmarkEnd w:id="997"/>
      <w:bookmarkEnd w:id="998"/>
      <w:bookmarkEnd w:id="999"/>
      <w:bookmarkEnd w:id="1000"/>
      <w:bookmarkEnd w:id="1001"/>
      <w:bookmarkEnd w:id="1002"/>
      <w:bookmarkEnd w:id="1003"/>
      <w:bookmarkEnd w:id="1005"/>
      <w:bookmarkEnd w:id="1006"/>
    </w:p>
    <w:p>
      <w:pPr>
        <w:rPr>
          <w:color w:val="auto"/>
        </w:rPr>
      </w:pPr>
      <w:r>
        <w:rPr>
          <w:rFonts w:hint="eastAsia"/>
          <w:color w:val="auto"/>
        </w:rPr>
        <w:t xml:space="preserve">                                          </w:t>
      </w:r>
    </w:p>
    <w:p>
      <w:pPr>
        <w:rPr>
          <w:color w:val="auto"/>
        </w:rPr>
      </w:pPr>
    </w:p>
    <w:p>
      <w:pPr>
        <w:rPr>
          <w:b/>
          <w:color w:val="auto"/>
        </w:rPr>
      </w:pPr>
      <w:r>
        <w:rPr>
          <w:rFonts w:hint="eastAsia"/>
          <w:color w:val="auto"/>
        </w:rPr>
        <w:t xml:space="preserve">                               </w:t>
      </w:r>
      <w:r>
        <w:rPr>
          <w:rFonts w:hint="eastAsia"/>
          <w:b/>
          <w:color w:val="auto"/>
        </w:rPr>
        <w:t xml:space="preserve"> </w:t>
      </w:r>
    </w:p>
    <w:p>
      <w:pPr>
        <w:spacing w:line="360" w:lineRule="auto"/>
        <w:ind w:firstLine="843" w:firstLineChars="300"/>
        <w:rPr>
          <w:rFonts w:hint="eastAsia" w:ascii="宋体" w:hAnsi="宋体" w:cs="宋体"/>
          <w:b/>
          <w:color w:val="auto"/>
          <w:sz w:val="28"/>
          <w:szCs w:val="28"/>
          <w:u w:val="single"/>
        </w:rPr>
      </w:pPr>
      <w:r>
        <w:rPr>
          <w:rFonts w:hint="eastAsia" w:ascii="宋体" w:hAnsi="宋体" w:cs="宋体"/>
          <w:b/>
          <w:color w:val="auto"/>
          <w:sz w:val="28"/>
          <w:szCs w:val="28"/>
          <w:u w:val="single"/>
        </w:rPr>
        <w:t xml:space="preserve">                             </w:t>
      </w:r>
      <w:bookmarkStart w:id="1007" w:name="_Toc15646_WPSOffice_Level1"/>
      <w:r>
        <w:rPr>
          <w:rFonts w:hint="eastAsia" w:ascii="宋体" w:hAnsi="宋体" w:cs="宋体"/>
          <w:b/>
          <w:color w:val="auto"/>
          <w:sz w:val="28"/>
          <w:szCs w:val="28"/>
        </w:rPr>
        <w:t>（项目名称）</w:t>
      </w:r>
      <w:r>
        <w:rPr>
          <w:rFonts w:hint="eastAsia" w:ascii="宋体" w:hAnsi="宋体" w:cs="宋体"/>
          <w:b/>
          <w:color w:val="auto"/>
          <w:sz w:val="28"/>
          <w:szCs w:val="28"/>
          <w:u w:val="single"/>
        </w:rPr>
        <w:t xml:space="preserve">      </w:t>
      </w:r>
      <w:r>
        <w:rPr>
          <w:rFonts w:hint="eastAsia" w:ascii="宋体" w:hAnsi="宋体" w:cs="宋体"/>
          <w:b/>
          <w:color w:val="auto"/>
          <w:sz w:val="28"/>
          <w:szCs w:val="28"/>
        </w:rPr>
        <w:t>标段</w:t>
      </w:r>
      <w:bookmarkEnd w:id="1007"/>
    </w:p>
    <w:p>
      <w:pPr>
        <w:spacing w:line="360" w:lineRule="auto"/>
        <w:rPr>
          <w:rFonts w:ascii="宋体" w:cs="宋体"/>
          <w:b/>
          <w:color w:val="auto"/>
          <w:sz w:val="28"/>
          <w:szCs w:val="28"/>
        </w:rPr>
      </w:pPr>
    </w:p>
    <w:p>
      <w:pPr>
        <w:autoSpaceDE w:val="0"/>
        <w:autoSpaceDN w:val="0"/>
        <w:adjustRightInd w:val="0"/>
        <w:spacing w:beforeLines="700" w:line="420" w:lineRule="exact"/>
        <w:ind w:firstLine="964" w:firstLineChars="100"/>
        <w:jc w:val="center"/>
        <w:rPr>
          <w:rFonts w:hint="eastAsia" w:ascii="宋体" w:hAnsi="宋体" w:eastAsia="宋体"/>
          <w:b/>
          <w:bCs/>
          <w:color w:val="auto"/>
          <w:kern w:val="0"/>
          <w:sz w:val="96"/>
          <w:szCs w:val="48"/>
          <w:u w:val="none"/>
          <w:lang w:eastAsia="zh-CN"/>
        </w:rPr>
      </w:pPr>
      <w:bookmarkStart w:id="1008" w:name="_Toc17030_WPSOffice_Level1"/>
      <w:r>
        <w:rPr>
          <w:rFonts w:hint="eastAsia" w:ascii="宋体" w:hAnsi="宋体"/>
          <w:b/>
          <w:bCs/>
          <w:color w:val="auto"/>
          <w:kern w:val="0"/>
          <w:sz w:val="96"/>
          <w:szCs w:val="48"/>
          <w:u w:val="none"/>
          <w:lang w:eastAsia="zh-CN"/>
        </w:rPr>
        <w:t>投标文件</w:t>
      </w:r>
      <w:bookmarkEnd w:id="1008"/>
    </w:p>
    <w:p>
      <w:pPr>
        <w:pStyle w:val="8"/>
        <w:pageBreakBefore w:val="0"/>
        <w:widowControl w:val="0"/>
        <w:kinsoku/>
        <w:wordWrap/>
        <w:overflowPunct/>
        <w:topLinePunct w:val="0"/>
        <w:bidi w:val="0"/>
        <w:snapToGrid/>
        <w:spacing w:line="240" w:lineRule="exact"/>
        <w:ind w:firstLine="3200" w:firstLineChars="800"/>
        <w:textAlignment w:val="auto"/>
        <w:rPr>
          <w:rFonts w:hint="eastAsia" w:asciiTheme="minorEastAsia" w:hAnsiTheme="minorEastAsia" w:eastAsiaTheme="minorEastAsia" w:cstheme="minorEastAsia"/>
          <w:b w:val="0"/>
          <w:bCs/>
          <w:color w:val="auto"/>
          <w:sz w:val="28"/>
          <w:szCs w:val="28"/>
          <w:lang w:eastAsia="zh-CN"/>
        </w:rPr>
      </w:pPr>
      <w:bookmarkStart w:id="1009" w:name="_Toc4248_WPSOffice_Level1"/>
      <w:r>
        <w:rPr>
          <w:rFonts w:hint="eastAsia" w:asciiTheme="minorEastAsia" w:hAnsiTheme="minorEastAsia" w:eastAsiaTheme="minorEastAsia" w:cstheme="minorEastAsia"/>
          <w:b w:val="0"/>
          <w:bCs/>
          <w:color w:val="auto"/>
          <w:spacing w:val="60"/>
          <w:kern w:val="0"/>
          <w:sz w:val="28"/>
          <w:szCs w:val="28"/>
          <w:lang w:eastAsia="zh-CN"/>
        </w:rPr>
        <w:t>项目编号：</w:t>
      </w:r>
      <w:bookmarkEnd w:id="1009"/>
    </w:p>
    <w:p>
      <w:pPr>
        <w:autoSpaceDE w:val="0"/>
        <w:autoSpaceDN w:val="0"/>
        <w:adjustRightInd w:val="0"/>
        <w:spacing w:afterLines="1500" w:line="276" w:lineRule="auto"/>
        <w:jc w:val="center"/>
        <w:rPr>
          <w:rFonts w:hint="eastAsia" w:eastAsia="宋体"/>
          <w:color w:val="auto"/>
          <w:sz w:val="28"/>
          <w:szCs w:val="28"/>
          <w:lang w:val="en-US" w:eastAsia="zh-CN"/>
        </w:rPr>
      </w:pPr>
      <w:r>
        <w:rPr>
          <w:rFonts w:hint="eastAsia" w:ascii="宋体" w:hAnsi="宋体"/>
          <w:b/>
          <w:color w:val="auto"/>
          <w:spacing w:val="60"/>
          <w:kern w:val="0"/>
          <w:sz w:val="70"/>
          <w:lang w:val="en-US" w:eastAsia="zh-CN"/>
        </w:rPr>
        <w:t xml:space="preserve"> </w:t>
      </w:r>
    </w:p>
    <w:p>
      <w:pPr>
        <w:pStyle w:val="133"/>
        <w:spacing w:line="420" w:lineRule="exact"/>
        <w:ind w:firstLine="1380" w:firstLineChars="600"/>
        <w:rPr>
          <w:rFonts w:hAnsi="宋体"/>
          <w:color w:val="auto"/>
          <w:sz w:val="23"/>
        </w:rPr>
      </w:pPr>
    </w:p>
    <w:p>
      <w:pPr>
        <w:pStyle w:val="133"/>
        <w:spacing w:line="420" w:lineRule="exact"/>
        <w:ind w:firstLine="1385" w:firstLineChars="600"/>
        <w:rPr>
          <w:rFonts w:hAnsi="宋体"/>
          <w:b/>
          <w:color w:val="auto"/>
          <w:sz w:val="23"/>
        </w:rPr>
      </w:pPr>
      <w:bookmarkStart w:id="1010" w:name="_Toc23220_WPSOffice_Level1"/>
      <w:r>
        <w:rPr>
          <w:rFonts w:hint="eastAsia" w:hAnsi="宋体"/>
          <w:b/>
          <w:color w:val="auto"/>
          <w:sz w:val="23"/>
        </w:rPr>
        <w:t>投标人：</w:t>
      </w:r>
      <w:r>
        <w:rPr>
          <w:rFonts w:hint="eastAsia" w:hAnsi="宋体"/>
          <w:b/>
          <w:color w:val="auto"/>
          <w:sz w:val="23"/>
          <w:u w:val="single"/>
        </w:rPr>
        <w:t xml:space="preserve">                                  </w:t>
      </w:r>
      <w:r>
        <w:rPr>
          <w:rFonts w:hint="eastAsia" w:hAnsi="宋体"/>
          <w:b/>
          <w:color w:val="auto"/>
          <w:sz w:val="23"/>
        </w:rPr>
        <w:t>（企业电子签章）</w:t>
      </w:r>
      <w:bookmarkEnd w:id="1010"/>
    </w:p>
    <w:p>
      <w:pPr>
        <w:pStyle w:val="133"/>
        <w:spacing w:line="420" w:lineRule="exact"/>
        <w:ind w:firstLine="1385" w:firstLineChars="600"/>
        <w:rPr>
          <w:rFonts w:hAnsi="宋体"/>
          <w:b/>
          <w:color w:val="auto"/>
          <w:sz w:val="23"/>
          <w:u w:val="single"/>
        </w:rPr>
      </w:pPr>
    </w:p>
    <w:p>
      <w:pPr>
        <w:pStyle w:val="133"/>
        <w:spacing w:line="420" w:lineRule="exact"/>
        <w:ind w:firstLine="1385" w:firstLineChars="600"/>
        <w:rPr>
          <w:rFonts w:hAnsi="宋体"/>
          <w:b/>
          <w:color w:val="auto"/>
          <w:sz w:val="23"/>
        </w:rPr>
      </w:pPr>
      <w:bookmarkStart w:id="1011" w:name="_Toc12761_WPSOffice_Level1"/>
      <w:r>
        <w:rPr>
          <w:rFonts w:hint="eastAsia" w:hAnsi="宋体"/>
          <w:b/>
          <w:color w:val="auto"/>
          <w:sz w:val="23"/>
        </w:rPr>
        <w:t>法定代表人：</w:t>
      </w:r>
      <w:r>
        <w:rPr>
          <w:rFonts w:hint="eastAsia" w:hAnsi="宋体"/>
          <w:b/>
          <w:color w:val="auto"/>
          <w:sz w:val="23"/>
          <w:u w:val="single"/>
        </w:rPr>
        <w:t xml:space="preserve">                  </w:t>
      </w:r>
      <w:r>
        <w:rPr>
          <w:rFonts w:hint="eastAsia" w:hAnsi="宋体"/>
          <w:b/>
          <w:color w:val="auto"/>
          <w:sz w:val="23"/>
        </w:rPr>
        <w:t>（个人电子签章）</w:t>
      </w:r>
      <w:bookmarkEnd w:id="1011"/>
    </w:p>
    <w:p>
      <w:pPr>
        <w:pStyle w:val="133"/>
        <w:spacing w:line="420" w:lineRule="exact"/>
        <w:jc w:val="right"/>
        <w:rPr>
          <w:rFonts w:hAnsi="宋体"/>
          <w:color w:val="auto"/>
          <w:sz w:val="23"/>
          <w:u w:val="single"/>
        </w:rPr>
      </w:pPr>
    </w:p>
    <w:p>
      <w:pPr>
        <w:pStyle w:val="133"/>
        <w:spacing w:line="420" w:lineRule="exact"/>
        <w:jc w:val="center"/>
        <w:rPr>
          <w:rFonts w:hAnsi="宋体"/>
          <w:b/>
          <w:bCs/>
          <w:color w:val="auto"/>
          <w:sz w:val="23"/>
          <w:u w:val="single"/>
        </w:rPr>
      </w:pPr>
      <w:bookmarkStart w:id="1012" w:name="_Toc21674_WPSOffice_Level1"/>
      <w:r>
        <w:rPr>
          <w:rFonts w:hint="eastAsia" w:hAnsi="宋体"/>
          <w:b/>
          <w:color w:val="auto"/>
          <w:sz w:val="23"/>
          <w:szCs w:val="22"/>
        </w:rPr>
        <w:t>_______年_______月_______</w:t>
      </w:r>
      <w:bookmarkStart w:id="1013" w:name="_Toc214433981"/>
      <w:bookmarkStart w:id="1014" w:name="_Toc228337190"/>
      <w:bookmarkStart w:id="1015" w:name="_Toc228591601"/>
      <w:bookmarkStart w:id="1016" w:name="_Toc228589255"/>
      <w:bookmarkStart w:id="1017" w:name="_Toc228881241"/>
      <w:bookmarkStart w:id="1018" w:name="_Toc227492337"/>
      <w:bookmarkStart w:id="1019" w:name="_Toc228591749"/>
      <w:bookmarkStart w:id="1020" w:name="_Toc227657579"/>
      <w:r>
        <w:rPr>
          <w:rFonts w:hint="eastAsia" w:hAnsi="宋体"/>
          <w:b/>
          <w:bCs/>
          <w:color w:val="auto"/>
          <w:sz w:val="23"/>
        </w:rPr>
        <w:t>日</w:t>
      </w:r>
      <w:bookmarkEnd w:id="1012"/>
    </w:p>
    <w:bookmarkEnd w:id="1013"/>
    <w:bookmarkEnd w:id="1014"/>
    <w:bookmarkEnd w:id="1015"/>
    <w:bookmarkEnd w:id="1016"/>
    <w:bookmarkEnd w:id="1017"/>
    <w:bookmarkEnd w:id="1018"/>
    <w:bookmarkEnd w:id="1019"/>
    <w:bookmarkEnd w:id="1020"/>
    <w:p>
      <w:pPr>
        <w:pStyle w:val="9"/>
        <w:jc w:val="left"/>
        <w:rPr>
          <w:color w:val="auto"/>
        </w:rPr>
        <w:sectPr>
          <w:footerReference r:id="rId18" w:type="first"/>
          <w:footerReference r:id="rId17" w:type="default"/>
          <w:pgSz w:w="11906" w:h="16838"/>
          <w:pgMar w:top="1134" w:right="1417" w:bottom="1134" w:left="1417" w:header="851" w:footer="992" w:gutter="0"/>
          <w:cols w:space="720" w:num="1"/>
          <w:titlePg/>
          <w:docGrid w:linePitch="312" w:charSpace="0"/>
        </w:sectPr>
      </w:pPr>
      <w:bookmarkStart w:id="1021" w:name="_Toc388035620"/>
      <w:bookmarkStart w:id="1022" w:name="_Toc393642351"/>
    </w:p>
    <w:p>
      <w:pPr>
        <w:pStyle w:val="9"/>
        <w:jc w:val="left"/>
        <w:rPr>
          <w:color w:val="auto"/>
        </w:rPr>
      </w:pPr>
    </w:p>
    <w:p>
      <w:pPr>
        <w:pStyle w:val="9"/>
        <w:jc w:val="center"/>
        <w:rPr>
          <w:color w:val="auto"/>
        </w:rPr>
      </w:pPr>
      <w:r>
        <w:rPr>
          <w:rFonts w:hint="eastAsia"/>
          <w:color w:val="auto"/>
        </w:rPr>
        <w:t>目  录</w:t>
      </w:r>
      <w:bookmarkEnd w:id="1021"/>
      <w:bookmarkEnd w:id="1022"/>
    </w:p>
    <w:p>
      <w:pPr>
        <w:spacing w:after="160" w:line="540" w:lineRule="exact"/>
        <w:ind w:firstLine="539"/>
        <w:rPr>
          <w:rFonts w:ascii="宋体" w:hAnsi="宋体"/>
          <w:color w:val="auto"/>
        </w:rPr>
      </w:pPr>
      <w:r>
        <w:rPr>
          <w:rFonts w:ascii="宋体" w:hAnsi="宋体"/>
          <w:color w:val="auto"/>
        </w:rPr>
        <w:t>一、投标函及投标函附录</w:t>
      </w:r>
    </w:p>
    <w:p>
      <w:pPr>
        <w:spacing w:after="160" w:line="540" w:lineRule="exact"/>
        <w:ind w:firstLine="539"/>
        <w:rPr>
          <w:rFonts w:ascii="宋体" w:hAnsi="宋体"/>
          <w:color w:val="auto"/>
        </w:rPr>
      </w:pPr>
      <w:r>
        <w:rPr>
          <w:rFonts w:ascii="宋体" w:hAnsi="宋体"/>
          <w:color w:val="auto"/>
        </w:rPr>
        <w:t>二、法定代表人身份证明</w:t>
      </w:r>
    </w:p>
    <w:p>
      <w:pPr>
        <w:spacing w:after="160" w:line="540" w:lineRule="exact"/>
        <w:ind w:firstLine="539"/>
        <w:rPr>
          <w:rFonts w:ascii="宋体" w:hAnsi="宋体"/>
          <w:color w:val="auto"/>
        </w:rPr>
      </w:pPr>
      <w:r>
        <w:rPr>
          <w:rFonts w:ascii="宋体" w:hAnsi="宋体"/>
          <w:color w:val="auto"/>
        </w:rPr>
        <w:t xml:space="preserve">三、授权委托书 </w:t>
      </w:r>
    </w:p>
    <w:p>
      <w:pPr>
        <w:spacing w:after="160" w:line="540" w:lineRule="exact"/>
        <w:ind w:firstLine="539"/>
        <w:rPr>
          <w:rFonts w:ascii="宋体" w:hAnsi="宋体"/>
          <w:color w:val="auto"/>
        </w:rPr>
      </w:pPr>
      <w:r>
        <w:rPr>
          <w:rFonts w:ascii="宋体" w:hAnsi="宋体"/>
          <w:color w:val="auto"/>
        </w:rPr>
        <w:t>四、已标价工程量清单</w:t>
      </w:r>
    </w:p>
    <w:p>
      <w:pPr>
        <w:spacing w:after="160" w:line="540" w:lineRule="exact"/>
        <w:ind w:firstLine="539"/>
        <w:rPr>
          <w:rFonts w:ascii="宋体" w:hAnsi="宋体"/>
          <w:color w:val="auto"/>
        </w:rPr>
      </w:pPr>
      <w:r>
        <w:rPr>
          <w:rFonts w:ascii="宋体" w:hAnsi="宋体"/>
          <w:color w:val="auto"/>
        </w:rPr>
        <w:t>五、施工组织设计</w:t>
      </w:r>
    </w:p>
    <w:p>
      <w:pPr>
        <w:spacing w:after="160" w:line="540" w:lineRule="exact"/>
        <w:ind w:firstLine="539"/>
        <w:rPr>
          <w:rFonts w:ascii="宋体" w:hAnsi="宋体"/>
          <w:color w:val="auto"/>
        </w:rPr>
      </w:pPr>
      <w:r>
        <w:rPr>
          <w:rFonts w:ascii="宋体" w:hAnsi="宋体"/>
          <w:color w:val="auto"/>
        </w:rPr>
        <w:t>六、项目管理机构</w:t>
      </w:r>
    </w:p>
    <w:p>
      <w:pPr>
        <w:spacing w:after="160" w:line="540" w:lineRule="exact"/>
        <w:ind w:firstLine="539"/>
        <w:rPr>
          <w:rFonts w:ascii="宋体" w:hAnsi="宋体"/>
          <w:color w:val="auto"/>
        </w:rPr>
      </w:pPr>
      <w:r>
        <w:rPr>
          <w:rFonts w:ascii="宋体" w:hAnsi="宋体"/>
          <w:color w:val="auto"/>
        </w:rPr>
        <w:t>七、资格审查资料</w:t>
      </w:r>
    </w:p>
    <w:p>
      <w:pPr>
        <w:spacing w:after="160" w:line="540" w:lineRule="exact"/>
        <w:ind w:firstLine="539"/>
        <w:rPr>
          <w:rFonts w:ascii="宋体" w:hAnsi="宋体"/>
          <w:color w:val="auto"/>
        </w:rPr>
      </w:pPr>
      <w:r>
        <w:rPr>
          <w:rFonts w:ascii="宋体" w:hAnsi="宋体"/>
          <w:color w:val="auto"/>
        </w:rPr>
        <w:t>八、服务承诺书</w:t>
      </w:r>
    </w:p>
    <w:p>
      <w:pPr>
        <w:spacing w:after="160" w:line="600" w:lineRule="exact"/>
        <w:ind w:firstLine="525"/>
        <w:rPr>
          <w:rFonts w:ascii="宋体" w:hAnsi="宋体"/>
          <w:color w:val="auto"/>
        </w:rPr>
      </w:pPr>
      <w:r>
        <w:rPr>
          <w:rFonts w:ascii="宋体" w:hAnsi="宋体"/>
          <w:color w:val="auto"/>
        </w:rPr>
        <w:t>九、其他材料</w:t>
      </w:r>
    </w:p>
    <w:p>
      <w:pPr>
        <w:spacing w:after="160" w:line="600" w:lineRule="exact"/>
        <w:ind w:firstLine="525"/>
        <w:rPr>
          <w:rFonts w:ascii="宋体" w:hAnsi="宋体"/>
          <w:color w:val="auto"/>
        </w:rPr>
      </w:pPr>
    </w:p>
    <w:p>
      <w:pPr>
        <w:spacing w:after="160" w:line="600" w:lineRule="exact"/>
        <w:rPr>
          <w:rFonts w:ascii="宋体" w:hAnsi="宋体"/>
          <w:color w:val="auto"/>
        </w:rPr>
      </w:pPr>
    </w:p>
    <w:p>
      <w:pPr>
        <w:spacing w:after="160" w:line="600" w:lineRule="exact"/>
        <w:rPr>
          <w:rFonts w:ascii="宋体" w:hAnsi="宋体"/>
          <w:color w:val="auto"/>
        </w:rPr>
        <w:sectPr>
          <w:pgSz w:w="11906" w:h="16838"/>
          <w:pgMar w:top="1418" w:right="1134" w:bottom="1418" w:left="1134" w:header="851" w:footer="992" w:gutter="0"/>
          <w:cols w:space="720" w:num="1"/>
          <w:docGrid w:type="lines" w:linePitch="312" w:charSpace="0"/>
        </w:sectPr>
      </w:pPr>
    </w:p>
    <w:p>
      <w:pPr>
        <w:pStyle w:val="9"/>
        <w:spacing w:line="415" w:lineRule="auto"/>
        <w:jc w:val="center"/>
        <w:rPr>
          <w:rFonts w:ascii="宋体" w:hAnsi="宋体"/>
          <w:color w:val="auto"/>
          <w:sz w:val="28"/>
          <w:szCs w:val="28"/>
        </w:rPr>
      </w:pPr>
      <w:bookmarkStart w:id="1023" w:name="_Toc356834014"/>
      <w:bookmarkStart w:id="1024" w:name="_Toc477940450"/>
      <w:bookmarkStart w:id="1025" w:name="_Toc179632808"/>
      <w:bookmarkStart w:id="1026" w:name="_Toc246996356"/>
      <w:bookmarkStart w:id="1027" w:name="_Toc246997099"/>
      <w:bookmarkStart w:id="1028" w:name="_Toc353177924"/>
      <w:bookmarkStart w:id="1029" w:name="_Toc408148929"/>
      <w:bookmarkStart w:id="1030" w:name="_Toc296602602"/>
      <w:bookmarkStart w:id="1031" w:name="_Toc152045788"/>
      <w:bookmarkStart w:id="1032" w:name="_Toc353303132"/>
      <w:bookmarkStart w:id="1033" w:name="_Toc22885_WPSOffice_Level1"/>
      <w:bookmarkStart w:id="1034" w:name="_Toc144974857"/>
      <w:bookmarkStart w:id="1035" w:name="_Toc152042577"/>
      <w:bookmarkStart w:id="1036" w:name="_Toc247085874"/>
      <w:r>
        <w:rPr>
          <w:rFonts w:ascii="宋体" w:hAnsi="宋体"/>
          <w:color w:val="auto"/>
          <w:sz w:val="28"/>
          <w:szCs w:val="28"/>
        </w:rPr>
        <w:t>一、投标函及投标函附录</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pPr>
        <w:spacing w:line="400" w:lineRule="exact"/>
        <w:jc w:val="center"/>
        <w:rPr>
          <w:rFonts w:ascii="宋体" w:hAnsi="宋体"/>
          <w:b/>
          <w:color w:val="auto"/>
          <w:sz w:val="28"/>
          <w:szCs w:val="28"/>
        </w:rPr>
      </w:pPr>
      <w:bookmarkStart w:id="1037" w:name="_Toc246996357"/>
      <w:bookmarkStart w:id="1038" w:name="_Toc247085875"/>
      <w:bookmarkStart w:id="1039" w:name="_Toc179632809"/>
      <w:bookmarkStart w:id="1040" w:name="_Toc246997100"/>
      <w:bookmarkStart w:id="1041" w:name="_Toc144974858"/>
      <w:bookmarkStart w:id="1042" w:name="_Toc296602603"/>
      <w:bookmarkStart w:id="1043" w:name="_Toc152042578"/>
      <w:bookmarkStart w:id="1044" w:name="_Toc152045789"/>
      <w:r>
        <w:rPr>
          <w:rFonts w:ascii="宋体" w:hAnsi="宋体"/>
          <w:b/>
          <w:color w:val="auto"/>
          <w:sz w:val="28"/>
          <w:szCs w:val="28"/>
        </w:rPr>
        <w:t>（一）投标函</w:t>
      </w:r>
      <w:bookmarkEnd w:id="1037"/>
      <w:bookmarkEnd w:id="1038"/>
      <w:bookmarkEnd w:id="1039"/>
      <w:bookmarkEnd w:id="1040"/>
      <w:bookmarkEnd w:id="1041"/>
      <w:bookmarkEnd w:id="1042"/>
      <w:bookmarkEnd w:id="1043"/>
      <w:bookmarkEnd w:id="1044"/>
    </w:p>
    <w:p>
      <w:pPr>
        <w:spacing w:line="400" w:lineRule="exact"/>
        <w:rPr>
          <w:rFonts w:ascii="宋体" w:hAnsi="宋体"/>
          <w:color w:val="auto"/>
          <w:szCs w:val="21"/>
        </w:rPr>
      </w:pPr>
    </w:p>
    <w:p>
      <w:pPr>
        <w:spacing w:line="300" w:lineRule="auto"/>
        <w:ind w:firstLine="482" w:firstLineChars="200"/>
        <w:rPr>
          <w:rFonts w:ascii="宋体" w:hAnsi="宋体"/>
          <w:b/>
          <w:color w:val="auto"/>
          <w:sz w:val="24"/>
          <w:szCs w:val="24"/>
        </w:rPr>
      </w:pPr>
      <w:r>
        <w:rPr>
          <w:rFonts w:hint="eastAsia" w:ascii="宋体" w:hAnsi="宋体"/>
          <w:b/>
          <w:color w:val="auto"/>
          <w:sz w:val="24"/>
          <w:szCs w:val="24"/>
        </w:rPr>
        <w:t>致：</w:t>
      </w:r>
      <w:r>
        <w:rPr>
          <w:rFonts w:hint="eastAsia" w:ascii="宋体" w:hAnsi="宋体"/>
          <w:b/>
          <w:color w:val="auto"/>
          <w:sz w:val="24"/>
          <w:szCs w:val="24"/>
          <w:u w:val="single"/>
        </w:rPr>
        <w:t xml:space="preserve">                    </w:t>
      </w:r>
      <w:r>
        <w:rPr>
          <w:rFonts w:hint="eastAsia" w:ascii="宋体" w:hAnsi="宋体"/>
          <w:b/>
          <w:color w:val="auto"/>
          <w:sz w:val="24"/>
          <w:szCs w:val="24"/>
        </w:rPr>
        <w:t>（招标人名称）</w:t>
      </w:r>
    </w:p>
    <w:p>
      <w:pPr>
        <w:rPr>
          <w:rFonts w:ascii="宋体" w:hAnsi="宋体"/>
          <w:color w:val="auto"/>
          <w:sz w:val="24"/>
          <w:szCs w:val="24"/>
        </w:rPr>
      </w:pPr>
    </w:p>
    <w:p>
      <w:pPr>
        <w:spacing w:line="300" w:lineRule="auto"/>
        <w:ind w:firstLine="480" w:firstLineChars="200"/>
        <w:rPr>
          <w:rFonts w:ascii="宋体" w:hAnsi="宋体"/>
          <w:color w:val="auto"/>
          <w:sz w:val="24"/>
          <w:szCs w:val="24"/>
        </w:rPr>
      </w:pPr>
      <w:r>
        <w:rPr>
          <w:rFonts w:hint="eastAsia" w:ascii="宋体" w:hAnsi="宋体"/>
          <w:color w:val="auto"/>
          <w:sz w:val="24"/>
          <w:szCs w:val="24"/>
        </w:rPr>
        <w:t>1．我方己仔细研究了</w:t>
      </w:r>
      <w:r>
        <w:rPr>
          <w:rFonts w:hint="eastAsia" w:ascii="宋体" w:hAnsi="宋体"/>
          <w:color w:val="auto"/>
          <w:sz w:val="24"/>
          <w:szCs w:val="24"/>
          <w:u w:val="single"/>
        </w:rPr>
        <w:t xml:space="preserve">                     </w:t>
      </w:r>
      <w:r>
        <w:rPr>
          <w:rFonts w:hint="eastAsia" w:ascii="宋体" w:hAnsi="宋体"/>
          <w:color w:val="auto"/>
          <w:sz w:val="24"/>
          <w:szCs w:val="24"/>
        </w:rPr>
        <w:t>（项目名称）第</w:t>
      </w:r>
      <w:r>
        <w:rPr>
          <w:rFonts w:hint="eastAsia" w:ascii="宋体" w:hAnsi="宋体"/>
          <w:color w:val="auto"/>
          <w:sz w:val="24"/>
          <w:szCs w:val="24"/>
          <w:u w:val="single"/>
        </w:rPr>
        <w:t xml:space="preserve">     </w:t>
      </w:r>
      <w:r>
        <w:rPr>
          <w:rFonts w:hint="eastAsia" w:ascii="宋体" w:hAnsi="宋体"/>
          <w:color w:val="auto"/>
          <w:sz w:val="24"/>
          <w:szCs w:val="24"/>
        </w:rPr>
        <w:t>标段招标文件的全部内容，愿意以人民币（大写）</w:t>
      </w:r>
      <w:r>
        <w:rPr>
          <w:rFonts w:hint="eastAsia" w:ascii="宋体" w:hAnsi="宋体"/>
          <w:color w:val="auto"/>
          <w:sz w:val="24"/>
          <w:szCs w:val="24"/>
          <w:u w:val="single"/>
        </w:rPr>
        <w:t xml:space="preserve">           </w:t>
      </w:r>
      <w:r>
        <w:rPr>
          <w:rFonts w:hint="eastAsia" w:ascii="宋体" w:hAnsi="宋体"/>
          <w:color w:val="auto"/>
          <w:sz w:val="24"/>
          <w:szCs w:val="24"/>
        </w:rPr>
        <w:t xml:space="preserve">元（￥  </w:t>
      </w:r>
      <w:r>
        <w:rPr>
          <w:rFonts w:hint="eastAsia" w:ascii="宋体" w:hAnsi="宋体"/>
          <w:color w:val="auto"/>
          <w:sz w:val="24"/>
          <w:szCs w:val="24"/>
          <w:u w:val="single"/>
        </w:rPr>
        <w:t xml:space="preserve">          ）</w:t>
      </w:r>
      <w:r>
        <w:rPr>
          <w:rFonts w:hint="eastAsia" w:ascii="宋体" w:hAnsi="宋体"/>
          <w:color w:val="auto"/>
          <w:sz w:val="24"/>
          <w:szCs w:val="24"/>
        </w:rPr>
        <w:t xml:space="preserve">的投标报价，工期 </w:t>
      </w:r>
      <w:r>
        <w:rPr>
          <w:rFonts w:hint="eastAsia" w:ascii="宋体" w:hAnsi="宋体"/>
          <w:color w:val="auto"/>
          <w:sz w:val="24"/>
          <w:szCs w:val="24"/>
          <w:u w:val="single"/>
        </w:rPr>
        <w:t xml:space="preserve">          </w:t>
      </w:r>
      <w:r>
        <w:rPr>
          <w:rFonts w:hint="eastAsia" w:ascii="宋体" w:hAnsi="宋体"/>
          <w:color w:val="auto"/>
          <w:sz w:val="24"/>
          <w:szCs w:val="24"/>
        </w:rPr>
        <w:t xml:space="preserve">日历天，按合同约定实施和完成承包工程，修补工程中任何缺陷，工程质量验收标准 </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00" w:lineRule="auto"/>
        <w:ind w:firstLine="360" w:firstLineChars="150"/>
        <w:rPr>
          <w:rFonts w:ascii="宋体" w:hAnsi="宋体"/>
          <w:color w:val="auto"/>
          <w:sz w:val="24"/>
          <w:szCs w:val="24"/>
        </w:rPr>
      </w:pPr>
      <w:r>
        <w:rPr>
          <w:rFonts w:hint="eastAsia" w:ascii="宋体" w:hAnsi="宋体"/>
          <w:color w:val="auto"/>
          <w:sz w:val="24"/>
          <w:szCs w:val="24"/>
          <w:lang w:val="en-US" w:eastAsia="zh-CN"/>
        </w:rPr>
        <w:t xml:space="preserve">2. </w:t>
      </w:r>
      <w:r>
        <w:rPr>
          <w:rFonts w:hint="eastAsia" w:ascii="宋体" w:hAnsi="宋体"/>
          <w:color w:val="auto"/>
          <w:sz w:val="24"/>
          <w:szCs w:val="24"/>
        </w:rPr>
        <w:t>我方承诺在投标有效期内不修改、撤销投标文件。</w:t>
      </w:r>
    </w:p>
    <w:p>
      <w:pPr>
        <w:spacing w:line="300" w:lineRule="auto"/>
        <w:ind w:firstLine="360" w:firstLineChars="150"/>
        <w:rPr>
          <w:rFonts w:ascii="宋体" w:hAnsi="宋体"/>
          <w:color w:val="auto"/>
          <w:sz w:val="24"/>
          <w:szCs w:val="24"/>
        </w:rPr>
      </w:pPr>
      <w:r>
        <w:rPr>
          <w:rFonts w:hint="eastAsia" w:ascii="宋体" w:hAnsi="宋体"/>
          <w:color w:val="auto"/>
          <w:sz w:val="24"/>
          <w:szCs w:val="24"/>
        </w:rPr>
        <w:t>3．如我方中标：</w:t>
      </w:r>
    </w:p>
    <w:p>
      <w:pPr>
        <w:spacing w:line="300" w:lineRule="auto"/>
        <w:ind w:firstLine="480" w:firstLineChars="200"/>
        <w:rPr>
          <w:rFonts w:ascii="宋体" w:hAnsi="宋体"/>
          <w:color w:val="auto"/>
          <w:sz w:val="24"/>
          <w:szCs w:val="24"/>
        </w:rPr>
      </w:pPr>
      <w:r>
        <w:rPr>
          <w:rFonts w:hint="eastAsia" w:ascii="宋体" w:hAnsi="宋体"/>
          <w:color w:val="auto"/>
          <w:sz w:val="24"/>
          <w:szCs w:val="24"/>
        </w:rPr>
        <w:t>（1）我方承诺在收到中标通知书后，在中标通知书规定的期限内与你方签订合同。</w:t>
      </w:r>
    </w:p>
    <w:p>
      <w:pPr>
        <w:spacing w:line="300" w:lineRule="auto"/>
        <w:ind w:firstLine="480" w:firstLineChars="200"/>
        <w:rPr>
          <w:rFonts w:ascii="宋体" w:hAnsi="宋体"/>
          <w:color w:val="auto"/>
          <w:sz w:val="24"/>
          <w:szCs w:val="24"/>
        </w:rPr>
      </w:pPr>
      <w:r>
        <w:rPr>
          <w:rFonts w:hint="eastAsia" w:ascii="宋体" w:hAnsi="宋体"/>
          <w:color w:val="auto"/>
          <w:sz w:val="24"/>
          <w:szCs w:val="24"/>
        </w:rPr>
        <w:t>（2）随同本投标函递交的投标函附录属于合同文件的组成部分。</w:t>
      </w:r>
    </w:p>
    <w:p>
      <w:pPr>
        <w:spacing w:line="300" w:lineRule="auto"/>
        <w:ind w:firstLine="480" w:firstLineChars="200"/>
        <w:rPr>
          <w:rFonts w:ascii="宋体" w:hAnsi="宋体"/>
          <w:color w:val="auto"/>
          <w:sz w:val="24"/>
          <w:szCs w:val="24"/>
        </w:rPr>
      </w:pPr>
      <w:r>
        <w:rPr>
          <w:rFonts w:hint="eastAsia" w:ascii="宋体" w:hAnsi="宋体"/>
          <w:color w:val="auto"/>
          <w:sz w:val="24"/>
          <w:szCs w:val="24"/>
        </w:rPr>
        <w:t>（3）我方承诺在合同约定的期限内完成并移交全部合同工程。</w:t>
      </w:r>
    </w:p>
    <w:p>
      <w:pPr>
        <w:spacing w:line="300" w:lineRule="auto"/>
        <w:ind w:firstLine="480" w:firstLineChars="200"/>
        <w:rPr>
          <w:rFonts w:ascii="宋体" w:hAnsi="宋体"/>
          <w:color w:val="auto"/>
          <w:sz w:val="24"/>
          <w:szCs w:val="24"/>
        </w:rPr>
      </w:pPr>
      <w:r>
        <w:rPr>
          <w:rFonts w:hint="eastAsia" w:ascii="宋体" w:hAnsi="宋体"/>
          <w:color w:val="auto"/>
          <w:sz w:val="24"/>
          <w:szCs w:val="24"/>
        </w:rPr>
        <w:t>（4）如</w:t>
      </w:r>
      <w:r>
        <w:rPr>
          <w:rFonts w:hint="eastAsia" w:ascii="宋体" w:hAnsi="宋体"/>
          <w:color w:val="auto"/>
          <w:sz w:val="24"/>
          <w:szCs w:val="24"/>
          <w:lang w:eastAsia="zh-CN"/>
        </w:rPr>
        <w:t>我方</w:t>
      </w:r>
      <w:r>
        <w:rPr>
          <w:rFonts w:hint="eastAsia" w:ascii="宋体" w:hAnsi="宋体"/>
          <w:color w:val="auto"/>
          <w:sz w:val="24"/>
          <w:szCs w:val="24"/>
        </w:rPr>
        <w:t>被确定为</w:t>
      </w:r>
      <w:r>
        <w:rPr>
          <w:rFonts w:hint="eastAsia" w:ascii="宋体" w:hAnsi="宋体"/>
          <w:color w:val="auto"/>
          <w:sz w:val="24"/>
          <w:szCs w:val="24"/>
          <w:lang w:eastAsia="zh-CN"/>
        </w:rPr>
        <w:t>中标人</w:t>
      </w:r>
      <w:r>
        <w:rPr>
          <w:rFonts w:hint="eastAsia" w:ascii="宋体" w:hAnsi="宋体"/>
          <w:color w:val="auto"/>
          <w:sz w:val="24"/>
          <w:szCs w:val="24"/>
        </w:rPr>
        <w:t>，我方同意按本项目</w:t>
      </w:r>
      <w:r>
        <w:rPr>
          <w:rFonts w:hint="eastAsia" w:ascii="宋体" w:hAnsi="宋体"/>
          <w:color w:val="auto"/>
          <w:sz w:val="24"/>
          <w:szCs w:val="24"/>
          <w:lang w:eastAsia="zh-CN"/>
        </w:rPr>
        <w:t>招标</w:t>
      </w:r>
      <w:r>
        <w:rPr>
          <w:rFonts w:hint="eastAsia" w:ascii="宋体" w:hAnsi="宋体"/>
          <w:color w:val="auto"/>
          <w:sz w:val="24"/>
          <w:szCs w:val="24"/>
        </w:rPr>
        <w:t>文件的规定领取</w:t>
      </w:r>
      <w:r>
        <w:rPr>
          <w:rFonts w:hint="eastAsia" w:ascii="宋体" w:hAnsi="宋体"/>
          <w:color w:val="auto"/>
          <w:sz w:val="24"/>
          <w:szCs w:val="24"/>
          <w:lang w:eastAsia="zh-CN"/>
        </w:rPr>
        <w:t>中标</w:t>
      </w:r>
      <w:r>
        <w:rPr>
          <w:rFonts w:hint="eastAsia" w:ascii="宋体" w:hAnsi="宋体"/>
          <w:color w:val="auto"/>
          <w:sz w:val="24"/>
          <w:szCs w:val="24"/>
        </w:rPr>
        <w:t>通知书并缴纳代理服务费。否则，视为我方成交后自动放弃中标资格，承担由此引起的一切后果。</w:t>
      </w:r>
    </w:p>
    <w:p>
      <w:pPr>
        <w:spacing w:after="160" w:line="300" w:lineRule="exact"/>
        <w:ind w:firstLine="240" w:firstLineChars="1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lang w:val="en-US" w:eastAsia="zh-CN"/>
        </w:rPr>
        <w:t xml:space="preserve"> </w:t>
      </w:r>
      <w:r>
        <w:rPr>
          <w:rFonts w:ascii="宋体" w:hAnsi="宋体"/>
          <w:color w:val="auto"/>
          <w:sz w:val="24"/>
          <w:szCs w:val="24"/>
        </w:rPr>
        <w:t>我方在此声明，我方完全响应招标文件的全部内容，所递交的投标文件及有关资料内容完整、真实和准确，且不存在第二章“投标人须知”第1.4.1项规定的任何一种情形。</w:t>
      </w:r>
    </w:p>
    <w:p>
      <w:pPr>
        <w:spacing w:after="160" w:line="360" w:lineRule="auto"/>
        <w:ind w:firstLine="42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ascii="宋体" w:hAnsi="宋体"/>
          <w:color w:val="auto"/>
          <w:sz w:val="24"/>
          <w:szCs w:val="24"/>
          <w:u w:val="single"/>
        </w:rPr>
        <w:t xml:space="preserve">                        </w:t>
      </w:r>
      <w:r>
        <w:rPr>
          <w:rFonts w:ascii="宋体" w:hAnsi="宋体"/>
          <w:color w:val="auto"/>
          <w:sz w:val="24"/>
          <w:szCs w:val="24"/>
        </w:rPr>
        <w:t>（其他补充说明）。</w:t>
      </w:r>
    </w:p>
    <w:p>
      <w:pPr>
        <w:spacing w:after="160" w:line="360" w:lineRule="auto"/>
        <w:jc w:val="right"/>
        <w:rPr>
          <w:rFonts w:ascii="宋体" w:hAnsi="宋体"/>
          <w:color w:val="auto"/>
          <w:sz w:val="24"/>
          <w:szCs w:val="24"/>
        </w:rPr>
      </w:pPr>
      <w:r>
        <w:rPr>
          <w:rFonts w:ascii="宋体" w:hAnsi="宋体"/>
          <w:color w:val="auto"/>
          <w:sz w:val="24"/>
          <w:szCs w:val="24"/>
        </w:rPr>
        <w:t>投 标 人：</w:t>
      </w:r>
      <w:r>
        <w:rPr>
          <w:rFonts w:ascii="宋体" w:hAnsi="宋体"/>
          <w:color w:val="auto"/>
          <w:sz w:val="24"/>
          <w:szCs w:val="24"/>
          <w:u w:val="single"/>
        </w:rPr>
        <w:t xml:space="preserve">                      </w:t>
      </w:r>
      <w:r>
        <w:rPr>
          <w:rFonts w:ascii="宋体" w:hAnsi="宋体"/>
          <w:color w:val="auto"/>
          <w:sz w:val="24"/>
          <w:szCs w:val="24"/>
        </w:rPr>
        <w:t>（企业电子签章）</w:t>
      </w:r>
    </w:p>
    <w:p>
      <w:pPr>
        <w:spacing w:after="160" w:line="360" w:lineRule="auto"/>
        <w:jc w:val="right"/>
        <w:rPr>
          <w:rFonts w:ascii="宋体" w:hAnsi="宋体"/>
          <w:color w:val="auto"/>
          <w:sz w:val="24"/>
          <w:szCs w:val="24"/>
        </w:rPr>
      </w:pPr>
      <w:r>
        <w:rPr>
          <w:rFonts w:ascii="宋体" w:hAnsi="宋体"/>
          <w:color w:val="auto"/>
          <w:sz w:val="24"/>
          <w:szCs w:val="24"/>
        </w:rPr>
        <w:t>法定代表人或委托代理人：</w:t>
      </w:r>
      <w:r>
        <w:rPr>
          <w:rFonts w:ascii="宋体" w:hAnsi="宋体"/>
          <w:color w:val="auto"/>
          <w:sz w:val="24"/>
          <w:szCs w:val="24"/>
          <w:u w:val="single"/>
        </w:rPr>
        <w:t xml:space="preserve">          </w:t>
      </w:r>
      <w:r>
        <w:rPr>
          <w:rFonts w:ascii="宋体" w:hAnsi="宋体"/>
          <w:color w:val="auto"/>
          <w:sz w:val="24"/>
          <w:szCs w:val="24"/>
        </w:rPr>
        <w:t>（个人电子签章）</w:t>
      </w:r>
    </w:p>
    <w:p>
      <w:pPr>
        <w:spacing w:after="160" w:line="360" w:lineRule="auto"/>
        <w:ind w:firstLine="5040"/>
        <w:rPr>
          <w:rFonts w:ascii="宋体" w:hAnsi="宋体"/>
          <w:color w:val="auto"/>
          <w:sz w:val="24"/>
          <w:szCs w:val="24"/>
        </w:rPr>
      </w:pPr>
      <w:r>
        <w:rPr>
          <w:rFonts w:ascii="宋体" w:hAnsi="宋体"/>
          <w:color w:val="auto"/>
          <w:sz w:val="24"/>
          <w:szCs w:val="24"/>
          <w:u w:val="single"/>
        </w:rPr>
        <w:t xml:space="preserve">        </w:t>
      </w:r>
      <w:r>
        <w:rPr>
          <w:rFonts w:ascii="宋体" w:hAnsi="宋体"/>
          <w:color w:val="auto"/>
          <w:sz w:val="24"/>
          <w:szCs w:val="24"/>
        </w:rPr>
        <w:t>年</w:t>
      </w:r>
      <w:r>
        <w:rPr>
          <w:rFonts w:ascii="宋体" w:hAnsi="宋体"/>
          <w:color w:val="auto"/>
          <w:sz w:val="24"/>
          <w:szCs w:val="24"/>
          <w:u w:val="single"/>
        </w:rPr>
        <w:t xml:space="preserve">        </w:t>
      </w:r>
      <w:r>
        <w:rPr>
          <w:rFonts w:ascii="宋体" w:hAnsi="宋体"/>
          <w:color w:val="auto"/>
          <w:sz w:val="24"/>
          <w:szCs w:val="24"/>
        </w:rPr>
        <w:t>月</w:t>
      </w:r>
      <w:r>
        <w:rPr>
          <w:rFonts w:ascii="宋体" w:hAnsi="宋体"/>
          <w:color w:val="auto"/>
          <w:sz w:val="24"/>
          <w:szCs w:val="24"/>
          <w:u w:val="single"/>
        </w:rPr>
        <w:t xml:space="preserve">        </w:t>
      </w:r>
      <w:r>
        <w:rPr>
          <w:rFonts w:ascii="宋体" w:hAnsi="宋体"/>
          <w:color w:val="auto"/>
          <w:sz w:val="24"/>
          <w:szCs w:val="24"/>
        </w:rPr>
        <w:t>日</w:t>
      </w:r>
    </w:p>
    <w:p>
      <w:pPr>
        <w:spacing w:after="160" w:line="360" w:lineRule="auto"/>
        <w:ind w:firstLine="5040"/>
        <w:rPr>
          <w:rFonts w:ascii="宋体" w:hAnsi="宋体"/>
          <w:color w:val="auto"/>
          <w:sz w:val="24"/>
          <w:szCs w:val="24"/>
        </w:rPr>
      </w:pPr>
    </w:p>
    <w:p>
      <w:pPr>
        <w:spacing w:after="160" w:line="360" w:lineRule="auto"/>
        <w:ind w:firstLine="5040"/>
        <w:rPr>
          <w:rFonts w:ascii="宋体" w:hAnsi="宋体"/>
          <w:color w:val="auto"/>
        </w:rPr>
      </w:pPr>
    </w:p>
    <w:p>
      <w:pPr>
        <w:spacing w:after="160" w:line="360" w:lineRule="auto"/>
        <w:ind w:firstLine="5040"/>
        <w:rPr>
          <w:rFonts w:ascii="宋体" w:hAnsi="宋体"/>
          <w:color w:val="auto"/>
        </w:rPr>
      </w:pPr>
    </w:p>
    <w:p>
      <w:pPr>
        <w:spacing w:after="160" w:line="360" w:lineRule="auto"/>
        <w:ind w:firstLine="5040"/>
        <w:rPr>
          <w:rFonts w:ascii="宋体" w:hAnsi="宋体"/>
          <w:color w:val="auto"/>
        </w:rPr>
      </w:pPr>
    </w:p>
    <w:p>
      <w:pPr>
        <w:spacing w:after="160" w:line="360" w:lineRule="auto"/>
        <w:ind w:firstLine="5040"/>
        <w:rPr>
          <w:rFonts w:ascii="宋体" w:hAnsi="宋体"/>
          <w:color w:val="auto"/>
        </w:rPr>
      </w:pPr>
    </w:p>
    <w:p>
      <w:pPr>
        <w:spacing w:after="160" w:line="360" w:lineRule="auto"/>
        <w:ind w:firstLine="5040"/>
        <w:rPr>
          <w:rFonts w:ascii="宋体" w:hAnsi="宋体"/>
          <w:color w:val="auto"/>
        </w:rPr>
      </w:pPr>
    </w:p>
    <w:p>
      <w:pPr>
        <w:spacing w:after="160" w:line="360" w:lineRule="auto"/>
        <w:ind w:firstLine="5040"/>
        <w:rPr>
          <w:rFonts w:ascii="宋体" w:hAnsi="宋体"/>
          <w:color w:val="auto"/>
        </w:rPr>
      </w:pPr>
    </w:p>
    <w:p>
      <w:pPr>
        <w:spacing w:after="160" w:line="360" w:lineRule="auto"/>
        <w:ind w:firstLine="5040"/>
        <w:rPr>
          <w:rFonts w:ascii="宋体" w:hAnsi="宋体"/>
          <w:color w:val="auto"/>
        </w:rPr>
      </w:pPr>
    </w:p>
    <w:p>
      <w:pPr>
        <w:spacing w:after="160" w:line="360" w:lineRule="auto"/>
        <w:ind w:firstLine="5040"/>
        <w:rPr>
          <w:rFonts w:ascii="宋体" w:hAnsi="宋体"/>
          <w:color w:val="auto"/>
        </w:rPr>
      </w:pPr>
    </w:p>
    <w:p>
      <w:pPr>
        <w:spacing w:after="160"/>
        <w:jc w:val="center"/>
        <w:rPr>
          <w:rFonts w:ascii="宋体" w:hAnsi="宋体"/>
          <w:b/>
          <w:color w:val="auto"/>
          <w:sz w:val="28"/>
          <w:szCs w:val="28"/>
        </w:rPr>
      </w:pPr>
      <w:r>
        <w:rPr>
          <w:rFonts w:hint="eastAsia" w:ascii="宋体" w:hAnsi="宋体"/>
          <w:b/>
          <w:color w:val="auto"/>
          <w:sz w:val="28"/>
          <w:szCs w:val="28"/>
        </w:rPr>
        <w:t>（二）</w:t>
      </w:r>
      <w:r>
        <w:rPr>
          <w:rFonts w:ascii="宋体" w:hAnsi="宋体"/>
          <w:b/>
          <w:color w:val="auto"/>
          <w:sz w:val="28"/>
          <w:szCs w:val="28"/>
        </w:rPr>
        <w:t>投标函附录</w:t>
      </w:r>
    </w:p>
    <w:tbl>
      <w:tblPr>
        <w:tblStyle w:val="54"/>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3"/>
        <w:gridCol w:w="1635"/>
        <w:gridCol w:w="1479"/>
        <w:gridCol w:w="384"/>
        <w:gridCol w:w="977"/>
        <w:gridCol w:w="61"/>
        <w:gridCol w:w="1210"/>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hint="eastAsia" w:ascii="宋体" w:hAnsi="宋体"/>
                <w:color w:val="auto"/>
              </w:rPr>
              <w:t>项目</w:t>
            </w:r>
            <w:r>
              <w:rPr>
                <w:rFonts w:ascii="宋体" w:hAnsi="宋体"/>
                <w:color w:val="auto"/>
              </w:rPr>
              <w:t>名称</w:t>
            </w:r>
          </w:p>
        </w:tc>
        <w:tc>
          <w:tcPr>
            <w:tcW w:w="4536" w:type="dxa"/>
            <w:gridSpan w:val="5"/>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color w:val="auto"/>
                <w:sz w:val="24"/>
                <w:szCs w:val="24"/>
              </w:rPr>
            </w:pPr>
          </w:p>
        </w:tc>
        <w:tc>
          <w:tcPr>
            <w:tcW w:w="2205" w:type="dxa"/>
            <w:gridSpan w:val="2"/>
            <w:tcBorders>
              <w:top w:val="single" w:color="auto" w:sz="4" w:space="0"/>
              <w:left w:val="single" w:color="auto" w:sz="4" w:space="0"/>
              <w:bottom w:val="single" w:color="auto" w:sz="4" w:space="0"/>
              <w:right w:val="single" w:color="auto" w:sz="4" w:space="0"/>
            </w:tcBorders>
            <w:vAlign w:val="bottom"/>
          </w:tcPr>
          <w:p>
            <w:pPr>
              <w:spacing w:after="160"/>
              <w:jc w:val="center"/>
              <w:rPr>
                <w:rFonts w:ascii="宋体" w:hAnsi="宋体"/>
                <w:color w:val="auto"/>
                <w:sz w:val="24"/>
                <w:szCs w:val="24"/>
              </w:rPr>
            </w:pPr>
            <w:r>
              <w:rPr>
                <w:rFonts w:hint="eastAsia" w:ascii="宋体" w:hAnsi="宋体"/>
                <w:color w:val="auto"/>
                <w:sz w:val="24"/>
                <w:szCs w:val="24"/>
              </w:rPr>
              <w:t>第</w:t>
            </w:r>
            <w:r>
              <w:rPr>
                <w:rFonts w:hint="eastAsia" w:ascii="宋体" w:hAnsi="宋体"/>
                <w:color w:val="auto"/>
                <w:sz w:val="24"/>
                <w:szCs w:val="24"/>
                <w:u w:val="single"/>
              </w:rPr>
              <w:t xml:space="preserve">   </w:t>
            </w:r>
            <w:r>
              <w:rPr>
                <w:rFonts w:hint="eastAsia" w:ascii="宋体" w:hAnsi="宋体"/>
                <w:color w:val="auto"/>
                <w:sz w:val="24"/>
                <w:szCs w:val="24"/>
              </w:rPr>
              <w:t>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投标人</w:t>
            </w:r>
          </w:p>
        </w:tc>
        <w:tc>
          <w:tcPr>
            <w:tcW w:w="6741" w:type="dxa"/>
            <w:gridSpan w:val="7"/>
            <w:tcBorders>
              <w:top w:val="single" w:color="auto" w:sz="4" w:space="0"/>
              <w:left w:val="single" w:color="auto" w:sz="4" w:space="0"/>
              <w:bottom w:val="single" w:color="auto" w:sz="4" w:space="0"/>
              <w:right w:val="single" w:color="auto" w:sz="4" w:space="0"/>
            </w:tcBorders>
            <w:vAlign w:val="center"/>
          </w:tcPr>
          <w:p>
            <w:pPr>
              <w:tabs>
                <w:tab w:val="left" w:pos="2340"/>
              </w:tabs>
              <w:spacing w:after="160"/>
              <w:jc w:val="center"/>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投标范围</w:t>
            </w:r>
          </w:p>
        </w:tc>
        <w:tc>
          <w:tcPr>
            <w:tcW w:w="6741" w:type="dxa"/>
            <w:gridSpan w:val="7"/>
            <w:tcBorders>
              <w:top w:val="single" w:color="auto" w:sz="4" w:space="0"/>
              <w:left w:val="single" w:color="auto" w:sz="4" w:space="0"/>
              <w:bottom w:val="single" w:color="auto" w:sz="4" w:space="0"/>
              <w:right w:val="single" w:color="auto" w:sz="4" w:space="0"/>
            </w:tcBorders>
            <w:vAlign w:val="center"/>
          </w:tcPr>
          <w:p>
            <w:pPr>
              <w:tabs>
                <w:tab w:val="left" w:pos="2340"/>
              </w:tabs>
              <w:spacing w:after="160"/>
              <w:jc w:val="center"/>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spacing w:after="160" w:line="380" w:lineRule="exact"/>
              <w:jc w:val="center"/>
              <w:rPr>
                <w:rFonts w:hint="eastAsia" w:ascii="宋体" w:hAnsi="宋体" w:eastAsia="宋体"/>
                <w:color w:val="auto"/>
                <w:lang w:eastAsia="zh-CN"/>
              </w:rPr>
            </w:pPr>
            <w:r>
              <w:rPr>
                <w:rFonts w:ascii="宋体" w:hAnsi="宋体"/>
                <w:color w:val="auto"/>
              </w:rPr>
              <w:t>投标报价</w:t>
            </w:r>
            <w:r>
              <w:rPr>
                <w:rFonts w:hint="eastAsia" w:ascii="宋体" w:hAnsi="宋体"/>
                <w:color w:val="auto"/>
                <w:lang w:eastAsia="zh-CN"/>
              </w:rPr>
              <w:t>（万元）</w:t>
            </w:r>
          </w:p>
        </w:tc>
        <w:tc>
          <w:tcPr>
            <w:tcW w:w="3114" w:type="dxa"/>
            <w:gridSpan w:val="2"/>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right"/>
              <w:rPr>
                <w:rFonts w:ascii="宋体" w:hAnsi="宋体"/>
                <w:color w:val="auto"/>
              </w:rPr>
            </w:pPr>
            <w:r>
              <w:rPr>
                <w:rFonts w:ascii="宋体" w:hAnsi="宋体"/>
                <w:color w:val="auto"/>
              </w:rPr>
              <w:t>（大写）</w:t>
            </w:r>
          </w:p>
        </w:tc>
        <w:tc>
          <w:tcPr>
            <w:tcW w:w="3627" w:type="dxa"/>
            <w:gridSpan w:val="5"/>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right"/>
              <w:rPr>
                <w:rFonts w:ascii="宋体" w:hAnsi="宋体"/>
                <w:color w:val="auto"/>
              </w:rPr>
            </w:pPr>
            <w:r>
              <w:rPr>
                <w:rFonts w:hint="eastAsia" w:ascii="宋体" w:hAnsi="宋体"/>
                <w:color w:val="auto"/>
                <w:lang w:eastAsia="zh-CN"/>
              </w:rPr>
              <w:t>万</w:t>
            </w:r>
            <w:r>
              <w:rPr>
                <w:rFonts w:ascii="宋体" w:hAnsi="宋体"/>
                <w:color w:val="auto"/>
              </w:rPr>
              <w:t>元（小写）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投标工期</w:t>
            </w:r>
          </w:p>
        </w:tc>
        <w:tc>
          <w:tcPr>
            <w:tcW w:w="6741" w:type="dxa"/>
            <w:gridSpan w:val="7"/>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60" w:lineRule="auto"/>
              <w:jc w:val="righ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投标质量</w:t>
            </w:r>
          </w:p>
        </w:tc>
        <w:tc>
          <w:tcPr>
            <w:tcW w:w="6741" w:type="dxa"/>
            <w:gridSpan w:val="7"/>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60" w:lineRule="auto"/>
              <w:jc w:val="righ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项目经理</w:t>
            </w:r>
            <w:r>
              <w:rPr>
                <w:rFonts w:hint="eastAsia" w:ascii="宋体" w:hAnsi="宋体"/>
                <w:color w:val="auto"/>
                <w:lang w:val="en-US" w:eastAsia="zh-CN"/>
              </w:rPr>
              <w:t xml:space="preserve">               </w:t>
            </w:r>
            <w:r>
              <w:rPr>
                <w:rFonts w:hint="eastAsia" w:ascii="宋体" w:hAnsi="宋体"/>
                <w:color w:val="auto"/>
                <w:lang w:eastAsia="zh-CN"/>
              </w:rPr>
              <w:t>（生产厂家不用填写）</w:t>
            </w:r>
          </w:p>
        </w:tc>
        <w:tc>
          <w:tcPr>
            <w:tcW w:w="1635"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姓名</w:t>
            </w: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60" w:lineRule="auto"/>
              <w:jc w:val="center"/>
              <w:rPr>
                <w:rFonts w:ascii="宋体" w:hAnsi="宋体"/>
                <w:color w:val="auto"/>
              </w:rPr>
            </w:pPr>
          </w:p>
        </w:tc>
        <w:tc>
          <w:tcPr>
            <w:tcW w:w="384"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级别</w:t>
            </w: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ind w:left="-90"/>
              <w:jc w:val="center"/>
              <w:rPr>
                <w:rFonts w:ascii="宋体" w:hAnsi="宋体"/>
                <w:color w:val="auto"/>
              </w:rPr>
            </w:pPr>
            <w:r>
              <w:rPr>
                <w:rFonts w:ascii="宋体" w:hAnsi="宋体"/>
                <w:color w:val="auto"/>
              </w:rPr>
              <w:t>证书编号</w:t>
            </w:r>
          </w:p>
        </w:tc>
        <w:tc>
          <w:tcPr>
            <w:tcW w:w="995"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技术负责人</w:t>
            </w:r>
          </w:p>
        </w:tc>
        <w:tc>
          <w:tcPr>
            <w:tcW w:w="1635"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姓名</w:t>
            </w: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60" w:lineRule="auto"/>
              <w:jc w:val="center"/>
              <w:rPr>
                <w:rFonts w:ascii="宋体" w:hAnsi="宋体"/>
                <w:color w:val="auto"/>
              </w:rPr>
            </w:pPr>
          </w:p>
        </w:tc>
        <w:tc>
          <w:tcPr>
            <w:tcW w:w="384"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级别</w:t>
            </w:r>
          </w:p>
        </w:tc>
        <w:tc>
          <w:tcPr>
            <w:tcW w:w="977"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ind w:left="-90"/>
              <w:jc w:val="center"/>
              <w:rPr>
                <w:rFonts w:ascii="宋体" w:hAnsi="宋体"/>
                <w:color w:val="auto"/>
              </w:rPr>
            </w:pPr>
            <w:r>
              <w:rPr>
                <w:rFonts w:ascii="宋体" w:hAnsi="宋体"/>
                <w:color w:val="auto"/>
              </w:rPr>
              <w:t>证书编号</w:t>
            </w:r>
          </w:p>
        </w:tc>
        <w:tc>
          <w:tcPr>
            <w:tcW w:w="995"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2773" w:type="dxa"/>
            <w:tcBorders>
              <w:top w:val="single" w:color="auto" w:sz="4" w:space="0"/>
              <w:left w:val="single" w:color="auto" w:sz="4" w:space="0"/>
              <w:bottom w:val="single" w:color="auto" w:sz="4" w:space="0"/>
              <w:right w:val="single" w:color="auto" w:sz="4" w:space="0"/>
            </w:tcBorders>
            <w:vAlign w:val="center"/>
          </w:tcPr>
          <w:p>
            <w:pPr>
              <w:tabs>
                <w:tab w:val="left" w:pos="2340"/>
              </w:tabs>
              <w:spacing w:after="160" w:line="320" w:lineRule="exact"/>
              <w:jc w:val="center"/>
              <w:rPr>
                <w:rFonts w:ascii="宋体" w:hAnsi="宋体"/>
                <w:color w:val="auto"/>
              </w:rPr>
            </w:pPr>
            <w:r>
              <w:rPr>
                <w:rFonts w:ascii="宋体" w:hAnsi="宋体"/>
                <w:color w:val="auto"/>
              </w:rPr>
              <w:t>备注</w:t>
            </w:r>
          </w:p>
        </w:tc>
        <w:tc>
          <w:tcPr>
            <w:tcW w:w="6741" w:type="dxa"/>
            <w:gridSpan w:val="7"/>
            <w:tcBorders>
              <w:top w:val="single" w:color="auto" w:sz="4" w:space="0"/>
              <w:left w:val="single" w:color="auto" w:sz="4" w:space="0"/>
              <w:bottom w:val="single" w:color="auto" w:sz="4" w:space="0"/>
              <w:right w:val="single" w:color="auto" w:sz="4" w:space="0"/>
            </w:tcBorders>
            <w:vAlign w:val="center"/>
          </w:tcPr>
          <w:p>
            <w:pPr>
              <w:tabs>
                <w:tab w:val="left" w:pos="2340"/>
              </w:tabs>
              <w:spacing w:after="160"/>
              <w:jc w:val="center"/>
              <w:rPr>
                <w:rFonts w:ascii="宋体" w:hAnsi="宋体"/>
                <w:color w:val="auto"/>
              </w:rPr>
            </w:pPr>
          </w:p>
        </w:tc>
      </w:tr>
    </w:tbl>
    <w:p>
      <w:pPr>
        <w:spacing w:after="160" w:line="320" w:lineRule="exact"/>
        <w:rPr>
          <w:rFonts w:ascii="宋体" w:hAnsi="宋体"/>
          <w:color w:val="auto"/>
        </w:rPr>
      </w:pPr>
      <w:r>
        <w:rPr>
          <w:rFonts w:ascii="宋体" w:hAnsi="宋体"/>
          <w:color w:val="auto"/>
        </w:rPr>
        <w:t>注：1、本汇总表必须按要求认真填写，不得缺项。</w:t>
      </w:r>
    </w:p>
    <w:p>
      <w:pPr>
        <w:spacing w:after="160" w:line="320" w:lineRule="exact"/>
        <w:rPr>
          <w:rFonts w:ascii="宋体" w:hAnsi="宋体"/>
          <w:color w:val="auto"/>
        </w:rPr>
      </w:pPr>
      <w:r>
        <w:rPr>
          <w:rFonts w:hint="eastAsia" w:ascii="宋体" w:hAnsi="宋体"/>
          <w:color w:val="auto"/>
        </w:rPr>
        <w:t xml:space="preserve">    2、中标价=投标报价</w:t>
      </w:r>
    </w:p>
    <w:p>
      <w:pPr>
        <w:spacing w:after="160" w:line="320" w:lineRule="exact"/>
        <w:rPr>
          <w:rFonts w:ascii="宋体" w:hAnsi="宋体"/>
          <w:color w:val="auto"/>
        </w:rPr>
      </w:pPr>
      <w:r>
        <w:rPr>
          <w:rFonts w:ascii="宋体" w:hAnsi="宋体"/>
          <w:color w:val="auto"/>
        </w:rPr>
        <w:t xml:space="preserve">                      </w:t>
      </w:r>
    </w:p>
    <w:p>
      <w:pPr>
        <w:spacing w:after="160" w:line="360" w:lineRule="exact"/>
        <w:jc w:val="right"/>
        <w:rPr>
          <w:rFonts w:ascii="宋体" w:hAnsi="宋体"/>
          <w:color w:val="auto"/>
        </w:rPr>
      </w:pPr>
      <w:r>
        <w:rPr>
          <w:rFonts w:ascii="宋体" w:hAnsi="宋体"/>
          <w:color w:val="auto"/>
        </w:rPr>
        <w:t xml:space="preserve">投  标  人：  </w:t>
      </w:r>
      <w:r>
        <w:rPr>
          <w:rFonts w:ascii="宋体" w:hAnsi="宋体"/>
          <w:color w:val="auto"/>
          <w:u w:val="single"/>
        </w:rPr>
        <w:t xml:space="preserve">                    </w:t>
      </w:r>
      <w:r>
        <w:rPr>
          <w:rFonts w:ascii="宋体" w:hAnsi="宋体"/>
          <w:color w:val="auto"/>
        </w:rPr>
        <w:t xml:space="preserve">（企业电子签章）                      </w:t>
      </w:r>
    </w:p>
    <w:p>
      <w:pPr>
        <w:spacing w:after="160" w:line="360" w:lineRule="exact"/>
        <w:jc w:val="right"/>
        <w:rPr>
          <w:rFonts w:ascii="宋体" w:hAnsi="宋体"/>
          <w:color w:val="auto"/>
        </w:rPr>
      </w:pPr>
      <w:r>
        <w:rPr>
          <w:rFonts w:ascii="宋体" w:hAnsi="宋体"/>
          <w:color w:val="auto"/>
        </w:rPr>
        <w:t>法定代表人或委托代理人：</w:t>
      </w:r>
      <w:r>
        <w:rPr>
          <w:rFonts w:ascii="宋体" w:hAnsi="宋体"/>
          <w:color w:val="auto"/>
          <w:u w:val="single"/>
        </w:rPr>
        <w:t xml:space="preserve">          </w:t>
      </w:r>
      <w:r>
        <w:rPr>
          <w:rFonts w:ascii="宋体" w:hAnsi="宋体"/>
          <w:color w:val="auto"/>
        </w:rPr>
        <w:t xml:space="preserve"> （个人电子签章） </w:t>
      </w:r>
    </w:p>
    <w:p>
      <w:pPr>
        <w:spacing w:after="160" w:line="360" w:lineRule="exact"/>
        <w:ind w:firstLine="4095"/>
        <w:rPr>
          <w:rFonts w:ascii="宋体" w:hAnsi="宋体"/>
          <w:color w:val="auto"/>
        </w:rPr>
      </w:pPr>
      <w:r>
        <w:rPr>
          <w:rFonts w:ascii="宋体" w:hAnsi="宋体"/>
          <w:color w:val="auto"/>
          <w:u w:val="single"/>
        </w:rPr>
        <w:t xml:space="preserve">      </w:t>
      </w:r>
      <w:r>
        <w:rPr>
          <w:rFonts w:ascii="宋体" w:hAnsi="宋体"/>
          <w:color w:val="auto"/>
        </w:rPr>
        <w:t xml:space="preserve"> 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pPr>
        <w:pStyle w:val="146"/>
        <w:spacing w:after="160"/>
        <w:jc w:val="center"/>
        <w:rPr>
          <w:rFonts w:ascii="宋体" w:hAnsi="宋体"/>
          <w:b/>
          <w:color w:val="auto"/>
        </w:rPr>
      </w:pPr>
      <w:bookmarkStart w:id="1045" w:name="_Toc152045791"/>
      <w:bookmarkStart w:id="1046" w:name="_Toc179632811"/>
      <w:bookmarkStart w:id="1047" w:name="_Toc152042580"/>
      <w:bookmarkStart w:id="1048" w:name="_Toc144974860"/>
      <w:r>
        <w:rPr>
          <w:color w:val="auto"/>
        </w:rPr>
        <w:br w:type="page"/>
      </w:r>
      <w:bookmarkStart w:id="1049" w:name="_Toc4499"/>
      <w:bookmarkStart w:id="1050" w:name="_Toc16810774"/>
      <w:bookmarkStart w:id="1051" w:name="_Toc4571_WPSOffice_Level1"/>
      <w:r>
        <w:rPr>
          <w:rFonts w:ascii="宋体" w:hAnsi="宋体"/>
          <w:b/>
          <w:color w:val="auto"/>
        </w:rPr>
        <w:t>二、法定代表人身份证明</w:t>
      </w:r>
      <w:bookmarkEnd w:id="1045"/>
      <w:bookmarkEnd w:id="1046"/>
      <w:bookmarkEnd w:id="1047"/>
      <w:bookmarkEnd w:id="1048"/>
      <w:bookmarkEnd w:id="1049"/>
      <w:bookmarkEnd w:id="1050"/>
      <w:bookmarkEnd w:id="1051"/>
    </w:p>
    <w:p>
      <w:pPr>
        <w:spacing w:after="160" w:line="440" w:lineRule="exact"/>
        <w:rPr>
          <w:rFonts w:ascii="宋体" w:hAnsi="宋体"/>
          <w:color w:val="auto"/>
          <w:sz w:val="20"/>
        </w:rPr>
      </w:pPr>
    </w:p>
    <w:p>
      <w:pPr>
        <w:spacing w:after="160" w:line="440" w:lineRule="exact"/>
        <w:rPr>
          <w:rFonts w:ascii="宋体" w:hAnsi="宋体"/>
          <w:color w:val="auto"/>
        </w:rPr>
      </w:pPr>
    </w:p>
    <w:p>
      <w:pPr>
        <w:spacing w:after="160" w:line="440" w:lineRule="exact"/>
        <w:rPr>
          <w:rFonts w:ascii="宋体" w:hAnsi="宋体"/>
          <w:color w:val="auto"/>
        </w:rPr>
      </w:pPr>
      <w:r>
        <w:rPr>
          <w:rFonts w:ascii="宋体" w:hAnsi="宋体"/>
          <w:color w:val="auto"/>
        </w:rPr>
        <w:t>投标人名称：</w:t>
      </w:r>
      <w:r>
        <w:rPr>
          <w:rFonts w:ascii="宋体" w:hAnsi="宋体"/>
          <w:color w:val="auto"/>
          <w:u w:val="single"/>
        </w:rPr>
        <w:t xml:space="preserve">                                              </w:t>
      </w:r>
      <w:r>
        <w:rPr>
          <w:rFonts w:ascii="宋体" w:hAnsi="宋体"/>
          <w:color w:val="auto"/>
        </w:rPr>
        <w:t xml:space="preserve"> </w:t>
      </w:r>
    </w:p>
    <w:p>
      <w:pPr>
        <w:spacing w:after="160" w:line="440" w:lineRule="exact"/>
        <w:rPr>
          <w:rFonts w:ascii="宋体" w:hAnsi="宋体"/>
          <w:color w:val="auto"/>
        </w:rPr>
      </w:pPr>
      <w:r>
        <w:rPr>
          <w:rFonts w:ascii="宋体" w:hAnsi="宋体"/>
          <w:color w:val="auto"/>
        </w:rPr>
        <w:t>单位性质：</w:t>
      </w:r>
      <w:r>
        <w:rPr>
          <w:rFonts w:ascii="宋体" w:hAnsi="宋体"/>
          <w:color w:val="auto"/>
          <w:u w:val="single"/>
        </w:rPr>
        <w:t xml:space="preserve">                               </w:t>
      </w:r>
    </w:p>
    <w:p>
      <w:pPr>
        <w:spacing w:after="160" w:line="440" w:lineRule="exact"/>
        <w:rPr>
          <w:rFonts w:ascii="宋体" w:hAnsi="宋体"/>
          <w:color w:val="auto"/>
        </w:rPr>
      </w:pPr>
      <w:r>
        <w:rPr>
          <w:rFonts w:ascii="宋体" w:hAnsi="宋体"/>
          <w:color w:val="auto"/>
        </w:rPr>
        <w:t>地址：</w:t>
      </w:r>
      <w:r>
        <w:rPr>
          <w:rFonts w:ascii="宋体" w:hAnsi="宋体"/>
          <w:color w:val="auto"/>
          <w:u w:val="single"/>
        </w:rPr>
        <w:t xml:space="preserve">                                   </w:t>
      </w:r>
    </w:p>
    <w:p>
      <w:pPr>
        <w:spacing w:after="160" w:line="440" w:lineRule="exact"/>
        <w:rPr>
          <w:rFonts w:ascii="宋体" w:hAnsi="宋体"/>
          <w:color w:val="auto"/>
        </w:rPr>
      </w:pPr>
      <w:r>
        <w:rPr>
          <w:rFonts w:ascii="宋体" w:hAnsi="宋体"/>
          <w:color w:val="auto"/>
        </w:rPr>
        <w:t>成立时间：</w:t>
      </w:r>
      <w:r>
        <w:rPr>
          <w:rFonts w:ascii="宋体" w:hAnsi="宋体"/>
          <w:color w:val="auto"/>
          <w:u w:val="single"/>
        </w:rPr>
        <w:t xml:space="preserve">         </w:t>
      </w:r>
      <w:r>
        <w:rPr>
          <w:rFonts w:ascii="宋体" w:hAnsi="宋体"/>
          <w:color w:val="auto"/>
        </w:rPr>
        <w:t xml:space="preserve"> 年</w:t>
      </w:r>
      <w:r>
        <w:rPr>
          <w:rFonts w:ascii="宋体" w:hAnsi="宋体"/>
          <w:color w:val="auto"/>
          <w:u w:val="single"/>
        </w:rPr>
        <w:t xml:space="preserve">       </w:t>
      </w:r>
      <w:r>
        <w:rPr>
          <w:rFonts w:ascii="宋体" w:hAnsi="宋体"/>
          <w:color w:val="auto"/>
        </w:rPr>
        <w:t xml:space="preserve"> 月</w:t>
      </w:r>
      <w:r>
        <w:rPr>
          <w:rFonts w:ascii="宋体" w:hAnsi="宋体"/>
          <w:color w:val="auto"/>
          <w:u w:val="single"/>
        </w:rPr>
        <w:t xml:space="preserve">       </w:t>
      </w:r>
      <w:r>
        <w:rPr>
          <w:rFonts w:ascii="宋体" w:hAnsi="宋体"/>
          <w:color w:val="auto"/>
        </w:rPr>
        <w:t xml:space="preserve"> 日</w:t>
      </w:r>
    </w:p>
    <w:p>
      <w:pPr>
        <w:spacing w:after="160" w:line="440" w:lineRule="exact"/>
        <w:rPr>
          <w:rFonts w:ascii="宋体" w:hAnsi="宋体"/>
          <w:color w:val="auto"/>
        </w:rPr>
      </w:pPr>
      <w:r>
        <w:rPr>
          <w:rFonts w:ascii="宋体" w:hAnsi="宋体"/>
          <w:color w:val="auto"/>
        </w:rPr>
        <w:t>经营期限：</w:t>
      </w:r>
      <w:r>
        <w:rPr>
          <w:rFonts w:ascii="宋体" w:hAnsi="宋体"/>
          <w:color w:val="auto"/>
          <w:u w:val="single"/>
        </w:rPr>
        <w:t xml:space="preserve">                               </w:t>
      </w:r>
    </w:p>
    <w:p>
      <w:pPr>
        <w:spacing w:after="160" w:line="440" w:lineRule="exact"/>
        <w:rPr>
          <w:rFonts w:ascii="宋体" w:hAnsi="宋体"/>
          <w:color w:val="auto"/>
        </w:rPr>
      </w:pPr>
      <w:r>
        <w:rPr>
          <w:rFonts w:ascii="宋体" w:hAnsi="宋体"/>
          <w:color w:val="auto"/>
        </w:rPr>
        <w:t>姓名：</w:t>
      </w:r>
      <w:r>
        <w:rPr>
          <w:rFonts w:ascii="宋体" w:hAnsi="宋体"/>
          <w:color w:val="auto"/>
          <w:u w:val="single"/>
        </w:rPr>
        <w:t xml:space="preserve"> </w:t>
      </w:r>
      <w:r>
        <w:rPr>
          <w:rFonts w:hint="eastAsia" w:ascii="宋体" w:hAnsi="宋体"/>
          <w:color w:val="auto"/>
          <w:u w:val="single"/>
          <w:lang w:eastAsia="zh-CN"/>
        </w:rPr>
        <w:t>（加盖法人</w:t>
      </w:r>
      <w:r>
        <w:rPr>
          <w:rFonts w:ascii="宋体" w:hAnsi="宋体"/>
          <w:color w:val="auto"/>
          <w:u w:val="single"/>
        </w:rPr>
        <w:t>电子签章</w:t>
      </w:r>
      <w:r>
        <w:rPr>
          <w:rFonts w:hint="eastAsia" w:ascii="宋体" w:hAnsi="宋体"/>
          <w:color w:val="auto"/>
          <w:u w:val="single"/>
          <w:lang w:eastAsia="zh-CN"/>
        </w:rPr>
        <w:t>）</w:t>
      </w:r>
      <w:r>
        <w:rPr>
          <w:rFonts w:ascii="宋体" w:hAnsi="宋体"/>
          <w:color w:val="auto"/>
          <w:u w:val="single"/>
        </w:rPr>
        <w:t xml:space="preserve"> </w:t>
      </w:r>
      <w:r>
        <w:rPr>
          <w:rFonts w:ascii="宋体" w:hAnsi="宋体"/>
          <w:color w:val="auto"/>
        </w:rPr>
        <w:t xml:space="preserve"> 性别：</w:t>
      </w:r>
      <w:r>
        <w:rPr>
          <w:rFonts w:ascii="宋体" w:hAnsi="宋体"/>
          <w:color w:val="auto"/>
          <w:u w:val="single"/>
        </w:rPr>
        <w:t xml:space="preserve">         </w:t>
      </w:r>
      <w:r>
        <w:rPr>
          <w:rFonts w:ascii="宋体" w:hAnsi="宋体"/>
          <w:color w:val="auto"/>
        </w:rPr>
        <w:t xml:space="preserve"> 年龄：</w:t>
      </w:r>
      <w:r>
        <w:rPr>
          <w:rFonts w:ascii="宋体" w:hAnsi="宋体"/>
          <w:color w:val="auto"/>
          <w:u w:val="single"/>
        </w:rPr>
        <w:t xml:space="preserve">        </w:t>
      </w:r>
      <w:r>
        <w:rPr>
          <w:rFonts w:ascii="宋体" w:hAnsi="宋体"/>
          <w:color w:val="auto"/>
        </w:rPr>
        <w:t>职务：</w:t>
      </w:r>
      <w:r>
        <w:rPr>
          <w:rFonts w:ascii="宋体" w:hAnsi="宋体"/>
          <w:color w:val="auto"/>
          <w:u w:val="single"/>
        </w:rPr>
        <w:t xml:space="preserve">        </w:t>
      </w:r>
    </w:p>
    <w:p>
      <w:pPr>
        <w:spacing w:after="160" w:line="440" w:lineRule="exact"/>
        <w:rPr>
          <w:rFonts w:ascii="宋体" w:hAnsi="宋体"/>
          <w:color w:val="auto"/>
        </w:rPr>
      </w:pPr>
      <w:r>
        <w:rPr>
          <w:rFonts w:ascii="宋体" w:hAnsi="宋体"/>
          <w:color w:val="auto"/>
        </w:rPr>
        <w:t>系</w:t>
      </w:r>
      <w:r>
        <w:rPr>
          <w:rFonts w:ascii="宋体" w:hAnsi="宋体"/>
          <w:color w:val="auto"/>
          <w:u w:val="single"/>
        </w:rPr>
        <w:t xml:space="preserve">                             </w:t>
      </w:r>
      <w:r>
        <w:rPr>
          <w:rFonts w:ascii="宋体" w:hAnsi="宋体"/>
          <w:color w:val="auto"/>
        </w:rPr>
        <w:t xml:space="preserve"> （投标人名称）的法定代表人。</w:t>
      </w:r>
    </w:p>
    <w:p>
      <w:pPr>
        <w:spacing w:after="160" w:line="440" w:lineRule="exact"/>
        <w:ind w:firstLine="420"/>
        <w:rPr>
          <w:rFonts w:ascii="宋体" w:hAnsi="宋体"/>
          <w:color w:val="auto"/>
        </w:rPr>
      </w:pPr>
      <w:r>
        <w:rPr>
          <w:rFonts w:ascii="宋体" w:hAnsi="宋体"/>
          <w:color w:val="auto"/>
        </w:rPr>
        <w:t>特此证明。</w:t>
      </w:r>
    </w:p>
    <w:p>
      <w:pPr>
        <w:autoSpaceDE w:val="0"/>
        <w:autoSpaceDN w:val="0"/>
        <w:spacing w:before="94" w:after="160"/>
        <w:ind w:left="533" w:right="-20"/>
        <w:jc w:val="left"/>
        <w:rPr>
          <w:rFonts w:ascii="宋体" w:hAnsi="宋体"/>
          <w:color w:val="auto"/>
        </w:rPr>
      </w:pPr>
      <w:r>
        <w:rPr>
          <w:rFonts w:hAnsi="宋体"/>
          <w:color w:val="auto"/>
        </w:rPr>
        <w:t>附：法定代表人身份证明</w:t>
      </w:r>
      <w:r>
        <w:rPr>
          <w:rFonts w:ascii="宋体" w:hAnsi="宋体"/>
          <w:color w:val="auto"/>
        </w:rPr>
        <w:t>（</w:t>
      </w:r>
      <w:r>
        <w:rPr>
          <w:rFonts w:ascii="宋体" w:hAnsi="宋体"/>
          <w:color w:val="auto"/>
          <w:spacing w:val="-2"/>
        </w:rPr>
        <w:t>正</w:t>
      </w:r>
      <w:r>
        <w:rPr>
          <w:rFonts w:ascii="宋体" w:hAnsi="宋体"/>
          <w:color w:val="auto"/>
        </w:rPr>
        <w:t>反</w:t>
      </w:r>
      <w:r>
        <w:rPr>
          <w:rFonts w:ascii="宋体" w:hAnsi="宋体"/>
          <w:color w:val="auto"/>
          <w:spacing w:val="-2"/>
        </w:rPr>
        <w:t>面</w:t>
      </w:r>
      <w:r>
        <w:rPr>
          <w:rFonts w:ascii="宋体" w:hAnsi="宋体"/>
          <w:color w:val="auto"/>
        </w:rPr>
        <w:t>）</w:t>
      </w:r>
    </w:p>
    <w:p>
      <w:pPr>
        <w:spacing w:after="160" w:line="440" w:lineRule="exact"/>
        <w:rPr>
          <w:rFonts w:ascii="宋体" w:hAnsi="宋体"/>
          <w:color w:val="auto"/>
        </w:rPr>
      </w:pPr>
    </w:p>
    <w:p>
      <w:pPr>
        <w:spacing w:after="160" w:line="440" w:lineRule="exact"/>
        <w:rPr>
          <w:rFonts w:ascii="宋体" w:hAnsi="宋体"/>
          <w:color w:val="auto"/>
        </w:rPr>
      </w:pPr>
    </w:p>
    <w:p>
      <w:pPr>
        <w:spacing w:after="160" w:line="440" w:lineRule="exact"/>
        <w:rPr>
          <w:rFonts w:ascii="宋体" w:hAnsi="宋体"/>
          <w:color w:val="auto"/>
        </w:rPr>
      </w:pPr>
      <w:r>
        <w:rPr>
          <w:rFonts w:ascii="宋体" w:hAnsi="宋体"/>
          <w:color w:val="auto"/>
        </w:rPr>
        <w:t xml:space="preserve">                          投标人：</w:t>
      </w:r>
      <w:r>
        <w:rPr>
          <w:rFonts w:ascii="宋体" w:hAnsi="宋体"/>
          <w:color w:val="auto"/>
          <w:u w:val="single"/>
        </w:rPr>
        <w:t xml:space="preserve">                 </w:t>
      </w:r>
      <w:r>
        <w:rPr>
          <w:rFonts w:ascii="宋体" w:hAnsi="宋体"/>
          <w:color w:val="auto"/>
        </w:rPr>
        <w:t>（企业电子签章）</w:t>
      </w:r>
    </w:p>
    <w:p>
      <w:pPr>
        <w:spacing w:after="160" w:line="440" w:lineRule="exact"/>
        <w:rPr>
          <w:rFonts w:ascii="宋体" w:hAnsi="宋体"/>
          <w:color w:val="auto"/>
        </w:rPr>
      </w:pPr>
      <w:r>
        <w:rPr>
          <w:rFonts w:ascii="宋体" w:hAnsi="宋体"/>
          <w:color w:val="auto"/>
        </w:rPr>
        <w:t xml:space="preserve">                                   </w:t>
      </w: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 xml:space="preserve">日           </w:t>
      </w:r>
    </w:p>
    <w:p>
      <w:pPr>
        <w:spacing w:after="160" w:line="440" w:lineRule="exact"/>
        <w:jc w:val="center"/>
        <w:rPr>
          <w:rFonts w:ascii="宋体" w:hAnsi="宋体"/>
          <w:color w:val="auto"/>
          <w:sz w:val="20"/>
        </w:rPr>
      </w:pPr>
      <w:r>
        <w:rPr>
          <w:color w:val="auto"/>
        </w:rPr>
        <w:br w:type="page"/>
      </w:r>
    </w:p>
    <w:p>
      <w:pPr>
        <w:pStyle w:val="146"/>
        <w:spacing w:after="160"/>
        <w:jc w:val="center"/>
        <w:rPr>
          <w:rFonts w:ascii="宋体" w:hAnsi="宋体"/>
          <w:b/>
          <w:color w:val="auto"/>
        </w:rPr>
      </w:pPr>
      <w:bookmarkStart w:id="1052" w:name="_Toc10741_WPSOffice_Level1"/>
      <w:bookmarkStart w:id="1053" w:name="_Toc152042581"/>
      <w:bookmarkStart w:id="1054" w:name="_Toc152045792"/>
      <w:bookmarkStart w:id="1055" w:name="_Toc179632812"/>
      <w:bookmarkStart w:id="1056" w:name="_Toc16810775"/>
      <w:bookmarkStart w:id="1057" w:name="_Toc31690"/>
      <w:bookmarkStart w:id="1058" w:name="_Toc144974861"/>
      <w:r>
        <w:rPr>
          <w:rFonts w:ascii="宋体" w:hAnsi="宋体"/>
          <w:b/>
          <w:color w:val="auto"/>
        </w:rPr>
        <w:t>三、授权委托书</w:t>
      </w:r>
      <w:bookmarkEnd w:id="1052"/>
      <w:bookmarkEnd w:id="1053"/>
      <w:bookmarkEnd w:id="1054"/>
      <w:bookmarkEnd w:id="1055"/>
      <w:bookmarkEnd w:id="1056"/>
      <w:bookmarkEnd w:id="1057"/>
      <w:bookmarkEnd w:id="1058"/>
    </w:p>
    <w:p>
      <w:pPr>
        <w:spacing w:after="160" w:line="440" w:lineRule="exact"/>
        <w:rPr>
          <w:rFonts w:ascii="宋体" w:hAnsi="宋体"/>
          <w:color w:val="auto"/>
        </w:rPr>
      </w:pPr>
    </w:p>
    <w:p>
      <w:pPr>
        <w:spacing w:after="160" w:line="440" w:lineRule="exact"/>
        <w:ind w:firstLine="420"/>
        <w:rPr>
          <w:rFonts w:ascii="宋体" w:hAnsi="宋体"/>
          <w:color w:val="auto"/>
        </w:rPr>
      </w:pPr>
      <w:r>
        <w:rPr>
          <w:rFonts w:ascii="宋体" w:hAnsi="宋体"/>
          <w:color w:val="auto"/>
        </w:rPr>
        <w:t>本人</w:t>
      </w:r>
      <w:r>
        <w:rPr>
          <w:rFonts w:ascii="宋体" w:hAnsi="宋体"/>
          <w:color w:val="auto"/>
          <w:u w:val="single"/>
        </w:rPr>
        <w:t xml:space="preserve">       </w:t>
      </w:r>
      <w:r>
        <w:rPr>
          <w:rFonts w:ascii="宋体" w:hAnsi="宋体"/>
          <w:color w:val="auto"/>
        </w:rPr>
        <w:t>（姓名）系</w:t>
      </w:r>
      <w:r>
        <w:rPr>
          <w:rFonts w:ascii="宋体" w:hAnsi="宋体"/>
          <w:color w:val="auto"/>
          <w:u w:val="single"/>
        </w:rPr>
        <w:t xml:space="preserve">        </w:t>
      </w:r>
      <w:r>
        <w:rPr>
          <w:rFonts w:ascii="宋体" w:hAnsi="宋体"/>
          <w:color w:val="auto"/>
        </w:rPr>
        <w:t>（投标人名称）的法定代表人，现委托</w:t>
      </w:r>
      <w:r>
        <w:rPr>
          <w:rFonts w:ascii="宋体" w:hAnsi="宋体"/>
          <w:color w:val="auto"/>
          <w:u w:val="single"/>
        </w:rPr>
        <w:t xml:space="preserve">        </w:t>
      </w:r>
      <w:r>
        <w:rPr>
          <w:rFonts w:ascii="宋体" w:hAnsi="宋体"/>
          <w:color w:val="auto"/>
        </w:rPr>
        <w:t>（姓名）为我方代理人。代理人根据授权，以我方名义签署、澄清、说明、补正、递交、撤回、修改</w:t>
      </w:r>
      <w:r>
        <w:rPr>
          <w:rFonts w:ascii="宋体" w:hAnsi="宋体"/>
          <w:color w:val="auto"/>
          <w:u w:val="single"/>
        </w:rPr>
        <w:t xml:space="preserve">           </w:t>
      </w:r>
      <w:r>
        <w:rPr>
          <w:rFonts w:ascii="宋体" w:hAnsi="宋体"/>
          <w:color w:val="auto"/>
        </w:rPr>
        <w:t>（项目名称）投标文件、签订合同和处理有关事宜，其法律后果由我方承担。</w:t>
      </w:r>
    </w:p>
    <w:p>
      <w:pPr>
        <w:spacing w:after="160" w:line="440" w:lineRule="exact"/>
        <w:rPr>
          <w:rFonts w:ascii="宋体" w:hAnsi="宋体"/>
          <w:color w:val="auto"/>
        </w:rPr>
      </w:pPr>
      <w:r>
        <w:rPr>
          <w:rFonts w:ascii="宋体" w:hAnsi="宋体"/>
          <w:color w:val="auto"/>
        </w:rPr>
        <w:t xml:space="preserve">    委托期限：</w:t>
      </w:r>
      <w:r>
        <w:rPr>
          <w:rFonts w:ascii="宋体" w:hAnsi="宋体"/>
          <w:color w:val="auto"/>
          <w:u w:val="single"/>
        </w:rPr>
        <w:t xml:space="preserve">             </w:t>
      </w:r>
      <w:r>
        <w:rPr>
          <w:rFonts w:ascii="宋体" w:hAnsi="宋体"/>
          <w:color w:val="auto"/>
        </w:rPr>
        <w:t>。</w:t>
      </w:r>
    </w:p>
    <w:p>
      <w:pPr>
        <w:spacing w:after="160" w:line="440" w:lineRule="exact"/>
        <w:ind w:firstLine="420"/>
        <w:rPr>
          <w:rFonts w:ascii="宋体" w:hAnsi="宋体"/>
          <w:color w:val="auto"/>
        </w:rPr>
      </w:pPr>
      <w:r>
        <w:rPr>
          <w:rFonts w:ascii="宋体" w:hAnsi="宋体"/>
          <w:color w:val="auto"/>
        </w:rPr>
        <w:t>代理人无转委托权。</w:t>
      </w:r>
    </w:p>
    <w:p>
      <w:pPr>
        <w:spacing w:after="160" w:line="440" w:lineRule="exact"/>
        <w:ind w:firstLine="420"/>
        <w:rPr>
          <w:rFonts w:ascii="宋体" w:hAnsi="宋体"/>
          <w:color w:val="auto"/>
        </w:rPr>
      </w:pPr>
      <w:r>
        <w:rPr>
          <w:rFonts w:ascii="宋体" w:hAnsi="宋体"/>
          <w:color w:val="auto"/>
        </w:rPr>
        <w:t>附：法定代表人身份证明及受托人身份证明复印件</w:t>
      </w:r>
    </w:p>
    <w:p>
      <w:pPr>
        <w:spacing w:after="160" w:line="440" w:lineRule="exact"/>
        <w:rPr>
          <w:rFonts w:ascii="宋体" w:hAnsi="宋体"/>
          <w:color w:val="auto"/>
        </w:rPr>
      </w:pPr>
    </w:p>
    <w:p>
      <w:pPr>
        <w:spacing w:after="160" w:line="440" w:lineRule="exact"/>
        <w:rPr>
          <w:rFonts w:ascii="宋体" w:hAnsi="宋体"/>
          <w:color w:val="auto"/>
        </w:rPr>
      </w:pPr>
    </w:p>
    <w:p>
      <w:pPr>
        <w:spacing w:after="160" w:line="440" w:lineRule="exact"/>
        <w:jc w:val="right"/>
        <w:rPr>
          <w:rFonts w:ascii="宋体" w:hAnsi="宋体"/>
          <w:color w:val="auto"/>
        </w:rPr>
      </w:pPr>
      <w:r>
        <w:rPr>
          <w:rFonts w:ascii="宋体" w:hAnsi="宋体"/>
          <w:color w:val="auto"/>
        </w:rPr>
        <w:t>投标人：</w:t>
      </w:r>
      <w:r>
        <w:rPr>
          <w:rFonts w:ascii="宋体" w:hAnsi="宋体"/>
          <w:color w:val="auto"/>
          <w:u w:val="single"/>
        </w:rPr>
        <w:t xml:space="preserve">                           </w:t>
      </w:r>
      <w:r>
        <w:rPr>
          <w:rFonts w:ascii="宋体" w:hAnsi="宋体"/>
          <w:color w:val="auto"/>
        </w:rPr>
        <w:t>（企业电子签章）</w:t>
      </w:r>
    </w:p>
    <w:p>
      <w:pPr>
        <w:spacing w:after="160" w:line="440" w:lineRule="exact"/>
        <w:ind w:left="3570"/>
        <w:rPr>
          <w:rFonts w:ascii="宋体" w:hAnsi="宋体"/>
          <w:color w:val="auto"/>
        </w:rPr>
      </w:pPr>
      <w:r>
        <w:rPr>
          <w:rFonts w:ascii="宋体" w:hAnsi="宋体"/>
          <w:color w:val="auto"/>
        </w:rPr>
        <w:t xml:space="preserve"> </w:t>
      </w:r>
    </w:p>
    <w:p>
      <w:pPr>
        <w:spacing w:after="160" w:line="440" w:lineRule="exact"/>
        <w:ind w:firstLine="2310"/>
        <w:jc w:val="right"/>
        <w:rPr>
          <w:rFonts w:ascii="宋体" w:hAnsi="宋体"/>
          <w:color w:val="auto"/>
        </w:rPr>
      </w:pP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pPr>
        <w:spacing w:after="160" w:line="400" w:lineRule="exact"/>
        <w:rPr>
          <w:rFonts w:ascii="宋体" w:hAnsi="宋体"/>
          <w:color w:val="auto"/>
        </w:rPr>
      </w:pPr>
      <w:r>
        <w:rPr>
          <w:color w:val="auto"/>
        </w:rPr>
        <w:br w:type="page"/>
      </w:r>
    </w:p>
    <w:p>
      <w:pPr>
        <w:pStyle w:val="146"/>
        <w:spacing w:after="160"/>
        <w:jc w:val="center"/>
        <w:rPr>
          <w:rFonts w:ascii="宋体" w:hAnsi="宋体"/>
          <w:b/>
          <w:color w:val="auto"/>
        </w:rPr>
      </w:pPr>
      <w:bookmarkStart w:id="1059" w:name="_Toc152045795"/>
      <w:bookmarkStart w:id="1060" w:name="_Toc152042584"/>
      <w:bookmarkStart w:id="1061" w:name="_Toc144974863"/>
      <w:bookmarkStart w:id="1062" w:name="_Toc179632815"/>
      <w:bookmarkStart w:id="1063" w:name="_Toc126"/>
      <w:bookmarkStart w:id="1064" w:name="_Toc7394_WPSOffice_Level1"/>
      <w:bookmarkStart w:id="1065" w:name="_Toc16810776"/>
      <w:r>
        <w:rPr>
          <w:rFonts w:ascii="宋体" w:hAnsi="宋体"/>
          <w:b/>
          <w:color w:val="auto"/>
        </w:rPr>
        <w:t>四、</w:t>
      </w:r>
      <w:bookmarkEnd w:id="1059"/>
      <w:bookmarkEnd w:id="1060"/>
      <w:bookmarkEnd w:id="1061"/>
      <w:bookmarkEnd w:id="1062"/>
      <w:r>
        <w:rPr>
          <w:rFonts w:ascii="宋体" w:hAnsi="宋体"/>
          <w:b/>
          <w:color w:val="auto"/>
        </w:rPr>
        <w:t>已标价工程量清单</w:t>
      </w:r>
      <w:bookmarkEnd w:id="1063"/>
      <w:bookmarkEnd w:id="1064"/>
      <w:bookmarkEnd w:id="1065"/>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spacing w:after="160" w:line="460" w:lineRule="exact"/>
        <w:ind w:firstLine="1461"/>
        <w:rPr>
          <w:rFonts w:ascii="宋体" w:hAnsi="宋体"/>
          <w:color w:val="auto"/>
        </w:rPr>
      </w:pPr>
    </w:p>
    <w:p>
      <w:pPr>
        <w:pStyle w:val="146"/>
        <w:numPr>
          <w:ilvl w:val="0"/>
          <w:numId w:val="5"/>
        </w:numPr>
        <w:spacing w:after="160"/>
        <w:jc w:val="center"/>
        <w:rPr>
          <w:rFonts w:ascii="宋体" w:hAnsi="宋体"/>
          <w:b/>
          <w:color w:val="auto"/>
        </w:rPr>
      </w:pPr>
      <w:r>
        <w:rPr>
          <w:color w:val="auto"/>
        </w:rPr>
        <w:br w:type="page"/>
      </w:r>
      <w:bookmarkStart w:id="1066" w:name="_Toc179632816"/>
      <w:bookmarkStart w:id="1067" w:name="_Toc21338_WPSOffice_Level1"/>
      <w:bookmarkStart w:id="1068" w:name="_Toc152045796"/>
      <w:bookmarkStart w:id="1069" w:name="_Toc144974864"/>
      <w:bookmarkStart w:id="1070" w:name="_Toc152042585"/>
      <w:bookmarkStart w:id="1071" w:name="_Toc7293"/>
      <w:bookmarkStart w:id="1072" w:name="_Toc16810777"/>
      <w:r>
        <w:rPr>
          <w:rFonts w:ascii="宋体" w:hAnsi="宋体"/>
          <w:b/>
          <w:color w:val="auto"/>
        </w:rPr>
        <w:t>施工组织设计</w:t>
      </w:r>
      <w:bookmarkEnd w:id="1066"/>
      <w:bookmarkEnd w:id="1067"/>
      <w:bookmarkEnd w:id="1068"/>
      <w:bookmarkEnd w:id="1069"/>
      <w:bookmarkEnd w:id="1070"/>
      <w:bookmarkEnd w:id="1071"/>
      <w:bookmarkEnd w:id="1072"/>
    </w:p>
    <w:p>
      <w:pPr>
        <w:spacing w:line="360" w:lineRule="auto"/>
        <w:ind w:firstLine="400" w:firstLineChars="200"/>
        <w:rPr>
          <w:rFonts w:hint="eastAsia" w:ascii="宋体" w:hAnsi="宋体" w:cs="宋体"/>
          <w:color w:val="auto"/>
          <w:sz w:val="20"/>
          <w:szCs w:val="20"/>
        </w:rPr>
      </w:pPr>
      <w:r>
        <w:rPr>
          <w:rFonts w:hint="eastAsia" w:ascii="宋体" w:hAnsi="宋体" w:cs="宋体"/>
          <w:color w:val="auto"/>
          <w:sz w:val="20"/>
          <w:szCs w:val="20"/>
        </w:rPr>
        <w:t>投标人编制施工组织设计时应采用文字并结合图表形式说明工程的施工组织、施工方法、技术组织措施。同时应对关键工序、复杂环节重点提出相应技术措施。施工组织设计还应结合工程特点提出切实可行的工程质量、工程进度、安全生产、文明施工、水土保持、环境保护管理方案。</w:t>
      </w:r>
    </w:p>
    <w:p>
      <w:pPr>
        <w:pStyle w:val="146"/>
        <w:numPr>
          <w:ilvl w:val="0"/>
          <w:numId w:val="0"/>
        </w:numPr>
        <w:spacing w:after="160"/>
        <w:jc w:val="both"/>
        <w:rPr>
          <w:rFonts w:ascii="宋体" w:hAnsi="宋体"/>
          <w:b/>
          <w:color w:val="auto"/>
        </w:rPr>
      </w:pPr>
    </w:p>
    <w:p>
      <w:pPr>
        <w:spacing w:after="160" w:line="440" w:lineRule="exact"/>
        <w:rPr>
          <w:rFonts w:ascii="宋体" w:hAnsi="宋体"/>
          <w:color w:val="auto"/>
        </w:rPr>
      </w:pPr>
    </w:p>
    <w:p>
      <w:pPr>
        <w:pStyle w:val="130"/>
        <w:spacing w:line="360" w:lineRule="auto"/>
        <w:outlineLvl w:val="9"/>
        <w:rPr>
          <w:rFonts w:hint="eastAsia" w:ascii="宋体" w:hAnsi="宋体" w:eastAsia="宋体"/>
          <w:color w:val="auto"/>
          <w:sz w:val="20"/>
          <w:szCs w:val="20"/>
        </w:rPr>
      </w:pPr>
      <w:bookmarkStart w:id="1073" w:name="_Toc22525"/>
      <w:bookmarkStart w:id="1074" w:name="_Toc24527"/>
      <w:bookmarkStart w:id="1075" w:name="_Toc8417_WPSOffice_Level2"/>
      <w:bookmarkStart w:id="1076" w:name="_Toc15469_WPSOffice_Level2"/>
      <w:bookmarkStart w:id="1077" w:name="_Toc20030"/>
      <w:bookmarkStart w:id="1078" w:name="_Toc1558_WPSOffice_Level2"/>
      <w:bookmarkStart w:id="1079" w:name="_Toc2174_WPSOffice_Level2"/>
      <w:bookmarkStart w:id="1080" w:name="_Toc32108"/>
      <w:bookmarkStart w:id="1081" w:name="_Toc4859"/>
      <w:bookmarkStart w:id="1082" w:name="_Toc18425_WPSOffice_Level2"/>
      <w:bookmarkStart w:id="1083" w:name="_Toc8754_WPSOffice_Level2"/>
      <w:bookmarkStart w:id="1084" w:name="_Toc364354829"/>
      <w:bookmarkStart w:id="1085" w:name="_Toc168476327"/>
      <w:bookmarkStart w:id="1086" w:name="_Toc144974865"/>
      <w:bookmarkStart w:id="1087" w:name="_Toc221952073"/>
      <w:bookmarkStart w:id="1088" w:name="_Toc168475924"/>
      <w:r>
        <w:rPr>
          <w:rFonts w:hint="eastAsia" w:ascii="宋体" w:hAnsi="宋体" w:eastAsia="宋体"/>
          <w:color w:val="auto"/>
          <w:sz w:val="20"/>
          <w:szCs w:val="20"/>
        </w:rPr>
        <w:t>附表一：投入本标段的主要施工设备表</w:t>
      </w:r>
      <w:bookmarkEnd w:id="1073"/>
      <w:bookmarkEnd w:id="1074"/>
      <w:bookmarkEnd w:id="1075"/>
      <w:bookmarkEnd w:id="1076"/>
      <w:bookmarkEnd w:id="1077"/>
      <w:bookmarkEnd w:id="1078"/>
      <w:bookmarkEnd w:id="1079"/>
      <w:bookmarkEnd w:id="1080"/>
      <w:bookmarkEnd w:id="1081"/>
      <w:bookmarkEnd w:id="1082"/>
      <w:bookmarkEnd w:id="1083"/>
      <w:bookmarkEnd w:id="1084"/>
    </w:p>
    <w:p>
      <w:pPr>
        <w:spacing w:line="360" w:lineRule="auto"/>
        <w:jc w:val="center"/>
        <w:rPr>
          <w:rFonts w:hint="eastAsia" w:ascii="宋体" w:hAnsi="宋体" w:cs="宋体"/>
          <w:b/>
          <w:color w:val="auto"/>
          <w:szCs w:val="21"/>
        </w:rPr>
      </w:pPr>
      <w:bookmarkStart w:id="1089" w:name="_Toc9126_WPSOffice_Level2"/>
      <w:bookmarkStart w:id="1090" w:name="_Toc266524768"/>
      <w:bookmarkStart w:id="1091" w:name="_Toc25406_WPSOffice_Level2"/>
      <w:bookmarkStart w:id="1092" w:name="_Toc30926_WPSOffice_Level2"/>
      <w:bookmarkStart w:id="1093" w:name="_Toc10297_WPSOffice_Level2"/>
      <w:bookmarkStart w:id="1094" w:name="_Toc266113452"/>
      <w:bookmarkStart w:id="1095" w:name="_Toc14840_WPSOffice_Level2"/>
      <w:bookmarkStart w:id="1096" w:name="_Toc12175_WPSOffice_Level2"/>
      <w:r>
        <w:rPr>
          <w:rFonts w:hint="eastAsia" w:ascii="宋体" w:hAnsi="宋体" w:cs="宋体"/>
          <w:b/>
          <w:color w:val="auto"/>
          <w:szCs w:val="21"/>
        </w:rPr>
        <w:t>投入本标段的主要施工设备表</w:t>
      </w:r>
      <w:bookmarkEnd w:id="1085"/>
      <w:bookmarkEnd w:id="1086"/>
      <w:bookmarkEnd w:id="1087"/>
      <w:bookmarkEnd w:id="1088"/>
      <w:bookmarkEnd w:id="1089"/>
      <w:bookmarkEnd w:id="1090"/>
      <w:bookmarkEnd w:id="1091"/>
      <w:bookmarkEnd w:id="1092"/>
      <w:bookmarkEnd w:id="1093"/>
      <w:bookmarkEnd w:id="1094"/>
      <w:bookmarkEnd w:id="1095"/>
      <w:bookmarkEnd w:id="1096"/>
    </w:p>
    <w:tbl>
      <w:tblPr>
        <w:tblStyle w:val="54"/>
        <w:tblW w:w="9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83"/>
        <w:gridCol w:w="829"/>
        <w:gridCol w:w="1078"/>
        <w:gridCol w:w="732"/>
        <w:gridCol w:w="804"/>
        <w:gridCol w:w="1320"/>
        <w:gridCol w:w="953"/>
        <w:gridCol w:w="114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60" w:lineRule="auto"/>
              <w:jc w:val="center"/>
              <w:rPr>
                <w:rFonts w:hint="eastAsia" w:ascii="宋体" w:hAnsi="宋体" w:cs="宋体"/>
                <w:color w:val="auto"/>
                <w:szCs w:val="21"/>
              </w:rPr>
            </w:pPr>
            <w:bookmarkStart w:id="1097" w:name="_Toc221952074"/>
            <w:r>
              <w:rPr>
                <w:rFonts w:hint="eastAsia" w:ascii="宋体" w:hAnsi="宋体" w:cs="宋体"/>
                <w:color w:val="auto"/>
                <w:szCs w:val="21"/>
              </w:rPr>
              <w:t>序号</w:t>
            </w:r>
            <w:bookmarkEnd w:id="1097"/>
          </w:p>
        </w:tc>
        <w:tc>
          <w:tcPr>
            <w:tcW w:w="1183" w:type="dxa"/>
            <w:vAlign w:val="center"/>
          </w:tcPr>
          <w:p>
            <w:pPr>
              <w:spacing w:line="360" w:lineRule="auto"/>
              <w:jc w:val="center"/>
              <w:rPr>
                <w:rFonts w:hint="eastAsia" w:ascii="宋体" w:hAnsi="宋体" w:cs="宋体"/>
                <w:color w:val="auto"/>
                <w:szCs w:val="21"/>
              </w:rPr>
            </w:pPr>
            <w:bookmarkStart w:id="1098" w:name="_Toc221952075"/>
            <w:r>
              <w:rPr>
                <w:rFonts w:hint="eastAsia" w:ascii="宋体" w:hAnsi="宋体" w:cs="宋体"/>
                <w:color w:val="auto"/>
                <w:szCs w:val="21"/>
              </w:rPr>
              <w:t>设备名称</w:t>
            </w:r>
            <w:bookmarkEnd w:id="1098"/>
          </w:p>
        </w:tc>
        <w:tc>
          <w:tcPr>
            <w:tcW w:w="829" w:type="dxa"/>
            <w:vAlign w:val="center"/>
          </w:tcPr>
          <w:p>
            <w:pPr>
              <w:spacing w:line="360" w:lineRule="auto"/>
              <w:jc w:val="center"/>
              <w:rPr>
                <w:rFonts w:hint="eastAsia" w:ascii="宋体" w:hAnsi="宋体" w:cs="宋体"/>
                <w:color w:val="auto"/>
                <w:szCs w:val="21"/>
              </w:rPr>
            </w:pPr>
            <w:bookmarkStart w:id="1099" w:name="_Toc221952076"/>
            <w:r>
              <w:rPr>
                <w:rFonts w:hint="eastAsia" w:ascii="宋体" w:hAnsi="宋体" w:cs="宋体"/>
                <w:color w:val="auto"/>
                <w:szCs w:val="21"/>
              </w:rPr>
              <w:t>型号</w:t>
            </w:r>
            <w:bookmarkEnd w:id="1099"/>
          </w:p>
          <w:p>
            <w:pPr>
              <w:spacing w:line="360" w:lineRule="auto"/>
              <w:jc w:val="center"/>
              <w:rPr>
                <w:rFonts w:hint="eastAsia" w:ascii="宋体" w:hAnsi="宋体" w:cs="宋体"/>
                <w:color w:val="auto"/>
                <w:szCs w:val="21"/>
              </w:rPr>
            </w:pPr>
            <w:bookmarkStart w:id="1100" w:name="_Toc221952077"/>
            <w:r>
              <w:rPr>
                <w:rFonts w:hint="eastAsia" w:ascii="宋体" w:hAnsi="宋体" w:cs="宋体"/>
                <w:color w:val="auto"/>
                <w:szCs w:val="21"/>
              </w:rPr>
              <w:t>规格</w:t>
            </w:r>
            <w:bookmarkEnd w:id="1100"/>
          </w:p>
        </w:tc>
        <w:tc>
          <w:tcPr>
            <w:tcW w:w="1078" w:type="dxa"/>
            <w:vAlign w:val="center"/>
          </w:tcPr>
          <w:p>
            <w:pPr>
              <w:spacing w:line="360" w:lineRule="auto"/>
              <w:jc w:val="center"/>
              <w:rPr>
                <w:rFonts w:hint="eastAsia" w:ascii="宋体" w:hAnsi="宋体" w:cs="宋体"/>
                <w:color w:val="auto"/>
                <w:szCs w:val="21"/>
              </w:rPr>
            </w:pPr>
            <w:bookmarkStart w:id="1101" w:name="_Toc221952078"/>
            <w:r>
              <w:rPr>
                <w:rFonts w:hint="eastAsia" w:ascii="宋体" w:hAnsi="宋体" w:cs="宋体"/>
                <w:color w:val="auto"/>
                <w:szCs w:val="21"/>
              </w:rPr>
              <w:t>数量</w:t>
            </w:r>
            <w:bookmarkEnd w:id="1101"/>
          </w:p>
        </w:tc>
        <w:tc>
          <w:tcPr>
            <w:tcW w:w="732" w:type="dxa"/>
            <w:vAlign w:val="center"/>
          </w:tcPr>
          <w:p>
            <w:pPr>
              <w:spacing w:line="360" w:lineRule="auto"/>
              <w:jc w:val="center"/>
              <w:rPr>
                <w:rFonts w:hint="eastAsia" w:ascii="宋体" w:hAnsi="宋体" w:cs="宋体"/>
                <w:color w:val="auto"/>
                <w:szCs w:val="21"/>
              </w:rPr>
            </w:pPr>
            <w:bookmarkStart w:id="1102" w:name="_Toc221952079"/>
            <w:r>
              <w:rPr>
                <w:rFonts w:hint="eastAsia" w:ascii="宋体" w:hAnsi="宋体" w:cs="宋体"/>
                <w:color w:val="auto"/>
                <w:szCs w:val="21"/>
              </w:rPr>
              <w:t>国别</w:t>
            </w:r>
            <w:bookmarkEnd w:id="1102"/>
          </w:p>
          <w:p>
            <w:pPr>
              <w:spacing w:line="360" w:lineRule="auto"/>
              <w:jc w:val="center"/>
              <w:rPr>
                <w:rFonts w:hint="eastAsia" w:ascii="宋体" w:hAnsi="宋体" w:cs="宋体"/>
                <w:color w:val="auto"/>
                <w:szCs w:val="21"/>
              </w:rPr>
            </w:pPr>
            <w:bookmarkStart w:id="1103" w:name="_Toc221952080"/>
            <w:r>
              <w:rPr>
                <w:rFonts w:hint="eastAsia" w:ascii="宋体" w:hAnsi="宋体" w:cs="宋体"/>
                <w:color w:val="auto"/>
                <w:szCs w:val="21"/>
              </w:rPr>
              <w:t>产地</w:t>
            </w:r>
            <w:bookmarkEnd w:id="1103"/>
          </w:p>
        </w:tc>
        <w:tc>
          <w:tcPr>
            <w:tcW w:w="804" w:type="dxa"/>
            <w:vAlign w:val="center"/>
          </w:tcPr>
          <w:p>
            <w:pPr>
              <w:spacing w:line="360" w:lineRule="auto"/>
              <w:jc w:val="center"/>
              <w:rPr>
                <w:rFonts w:hint="eastAsia" w:ascii="宋体" w:hAnsi="宋体" w:cs="宋体"/>
                <w:color w:val="auto"/>
                <w:szCs w:val="21"/>
              </w:rPr>
            </w:pPr>
            <w:bookmarkStart w:id="1104" w:name="_Toc221952081"/>
            <w:r>
              <w:rPr>
                <w:rFonts w:hint="eastAsia" w:ascii="宋体" w:hAnsi="宋体" w:cs="宋体"/>
                <w:color w:val="auto"/>
                <w:szCs w:val="21"/>
              </w:rPr>
              <w:t>制造</w:t>
            </w:r>
            <w:bookmarkEnd w:id="1104"/>
          </w:p>
          <w:p>
            <w:pPr>
              <w:spacing w:line="360" w:lineRule="auto"/>
              <w:jc w:val="center"/>
              <w:rPr>
                <w:rFonts w:hint="eastAsia" w:ascii="宋体" w:hAnsi="宋体" w:cs="宋体"/>
                <w:color w:val="auto"/>
                <w:szCs w:val="21"/>
              </w:rPr>
            </w:pPr>
            <w:bookmarkStart w:id="1105" w:name="_Toc221952082"/>
            <w:r>
              <w:rPr>
                <w:rFonts w:hint="eastAsia" w:ascii="宋体" w:hAnsi="宋体" w:cs="宋体"/>
                <w:color w:val="auto"/>
                <w:szCs w:val="21"/>
              </w:rPr>
              <w:t>年份</w:t>
            </w:r>
            <w:bookmarkEnd w:id="1105"/>
          </w:p>
        </w:tc>
        <w:tc>
          <w:tcPr>
            <w:tcW w:w="1320" w:type="dxa"/>
            <w:vAlign w:val="center"/>
          </w:tcPr>
          <w:p>
            <w:pPr>
              <w:spacing w:line="360" w:lineRule="auto"/>
              <w:jc w:val="center"/>
              <w:rPr>
                <w:rFonts w:hint="eastAsia" w:ascii="宋体" w:hAnsi="宋体" w:cs="宋体"/>
                <w:color w:val="auto"/>
                <w:szCs w:val="21"/>
              </w:rPr>
            </w:pPr>
            <w:bookmarkStart w:id="1106" w:name="_Toc221952083"/>
            <w:r>
              <w:rPr>
                <w:rFonts w:hint="eastAsia" w:ascii="宋体" w:hAnsi="宋体" w:cs="宋体"/>
                <w:color w:val="auto"/>
                <w:szCs w:val="21"/>
              </w:rPr>
              <w:t>额定功率（KW）</w:t>
            </w:r>
            <w:bookmarkEnd w:id="1106"/>
          </w:p>
        </w:tc>
        <w:tc>
          <w:tcPr>
            <w:tcW w:w="953" w:type="dxa"/>
            <w:vAlign w:val="center"/>
          </w:tcPr>
          <w:p>
            <w:pPr>
              <w:spacing w:line="360" w:lineRule="auto"/>
              <w:jc w:val="center"/>
              <w:rPr>
                <w:rFonts w:hint="eastAsia" w:ascii="宋体" w:hAnsi="宋体" w:cs="宋体"/>
                <w:color w:val="auto"/>
                <w:szCs w:val="21"/>
              </w:rPr>
            </w:pPr>
            <w:bookmarkStart w:id="1107" w:name="_Toc221952084"/>
            <w:r>
              <w:rPr>
                <w:rFonts w:hint="eastAsia" w:ascii="宋体" w:hAnsi="宋体" w:cs="宋体"/>
                <w:color w:val="auto"/>
                <w:szCs w:val="21"/>
              </w:rPr>
              <w:t>生产</w:t>
            </w:r>
            <w:bookmarkEnd w:id="1107"/>
          </w:p>
          <w:p>
            <w:pPr>
              <w:spacing w:line="360" w:lineRule="auto"/>
              <w:jc w:val="center"/>
              <w:rPr>
                <w:rFonts w:hint="eastAsia" w:ascii="宋体" w:hAnsi="宋体" w:cs="宋体"/>
                <w:color w:val="auto"/>
                <w:szCs w:val="21"/>
              </w:rPr>
            </w:pPr>
            <w:bookmarkStart w:id="1108" w:name="_Toc221952085"/>
            <w:r>
              <w:rPr>
                <w:rFonts w:hint="eastAsia" w:ascii="宋体" w:hAnsi="宋体" w:cs="宋体"/>
                <w:color w:val="auto"/>
                <w:szCs w:val="21"/>
              </w:rPr>
              <w:t>能力</w:t>
            </w:r>
            <w:bookmarkEnd w:id="1108"/>
          </w:p>
        </w:tc>
        <w:tc>
          <w:tcPr>
            <w:tcW w:w="1149" w:type="dxa"/>
            <w:vAlign w:val="center"/>
          </w:tcPr>
          <w:p>
            <w:pPr>
              <w:spacing w:line="360" w:lineRule="auto"/>
              <w:jc w:val="center"/>
              <w:rPr>
                <w:rFonts w:hint="eastAsia" w:ascii="宋体" w:hAnsi="宋体" w:cs="宋体"/>
                <w:color w:val="auto"/>
                <w:szCs w:val="21"/>
              </w:rPr>
            </w:pPr>
            <w:bookmarkStart w:id="1109" w:name="_Toc221952086"/>
            <w:r>
              <w:rPr>
                <w:rFonts w:hint="eastAsia" w:ascii="宋体" w:hAnsi="宋体" w:cs="宋体"/>
                <w:color w:val="auto"/>
                <w:szCs w:val="21"/>
              </w:rPr>
              <w:t>用于施工</w:t>
            </w:r>
          </w:p>
          <w:p>
            <w:pPr>
              <w:spacing w:line="360" w:lineRule="auto"/>
              <w:jc w:val="center"/>
              <w:rPr>
                <w:rFonts w:hint="eastAsia" w:ascii="宋体" w:hAnsi="宋体" w:cs="宋体"/>
                <w:color w:val="auto"/>
                <w:szCs w:val="21"/>
              </w:rPr>
            </w:pPr>
            <w:r>
              <w:rPr>
                <w:rFonts w:hint="eastAsia" w:ascii="宋体" w:hAnsi="宋体" w:cs="宋体"/>
                <w:color w:val="auto"/>
                <w:szCs w:val="21"/>
              </w:rPr>
              <w:t>部位</w:t>
            </w:r>
            <w:bookmarkEnd w:id="1109"/>
          </w:p>
        </w:tc>
        <w:tc>
          <w:tcPr>
            <w:tcW w:w="753" w:type="dxa"/>
            <w:vAlign w:val="center"/>
          </w:tcPr>
          <w:p>
            <w:pPr>
              <w:spacing w:line="360" w:lineRule="auto"/>
              <w:jc w:val="center"/>
              <w:rPr>
                <w:rFonts w:hint="eastAsia" w:ascii="宋体" w:hAnsi="宋体" w:cs="宋体"/>
                <w:color w:val="auto"/>
                <w:szCs w:val="21"/>
              </w:rPr>
            </w:pPr>
            <w:bookmarkStart w:id="1110" w:name="_Toc221952087"/>
            <w:r>
              <w:rPr>
                <w:rFonts w:hint="eastAsia" w:ascii="宋体" w:hAnsi="宋体" w:cs="宋体"/>
                <w:color w:val="auto"/>
                <w:szCs w:val="21"/>
              </w:rPr>
              <w:t>备注</w:t>
            </w:r>
            <w:bookmarkEnd w:id="1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60" w:lineRule="auto"/>
              <w:rPr>
                <w:rFonts w:hint="eastAsia" w:ascii="宋体" w:hAnsi="宋体" w:cs="宋体"/>
                <w:color w:val="auto"/>
                <w:szCs w:val="21"/>
              </w:rPr>
            </w:pPr>
          </w:p>
        </w:tc>
        <w:tc>
          <w:tcPr>
            <w:tcW w:w="1183" w:type="dxa"/>
            <w:vAlign w:val="center"/>
          </w:tcPr>
          <w:p>
            <w:pPr>
              <w:spacing w:line="360" w:lineRule="auto"/>
              <w:rPr>
                <w:rFonts w:hint="eastAsia" w:ascii="宋体" w:hAnsi="宋体" w:cs="宋体"/>
                <w:color w:val="auto"/>
                <w:szCs w:val="21"/>
              </w:rPr>
            </w:pPr>
          </w:p>
        </w:tc>
        <w:tc>
          <w:tcPr>
            <w:tcW w:w="829" w:type="dxa"/>
            <w:vAlign w:val="center"/>
          </w:tcPr>
          <w:p>
            <w:pPr>
              <w:spacing w:line="360" w:lineRule="auto"/>
              <w:rPr>
                <w:rFonts w:hint="eastAsia" w:ascii="宋体" w:hAnsi="宋体" w:cs="宋体"/>
                <w:color w:val="auto"/>
                <w:szCs w:val="21"/>
              </w:rPr>
            </w:pPr>
          </w:p>
        </w:tc>
        <w:tc>
          <w:tcPr>
            <w:tcW w:w="1078" w:type="dxa"/>
            <w:vAlign w:val="center"/>
          </w:tcPr>
          <w:p>
            <w:pPr>
              <w:spacing w:line="360" w:lineRule="auto"/>
              <w:rPr>
                <w:rFonts w:hint="eastAsia" w:ascii="宋体" w:hAnsi="宋体" w:cs="宋体"/>
                <w:color w:val="auto"/>
                <w:szCs w:val="21"/>
              </w:rPr>
            </w:pPr>
          </w:p>
        </w:tc>
        <w:tc>
          <w:tcPr>
            <w:tcW w:w="732" w:type="dxa"/>
            <w:vAlign w:val="center"/>
          </w:tcPr>
          <w:p>
            <w:pPr>
              <w:spacing w:line="360" w:lineRule="auto"/>
              <w:rPr>
                <w:rFonts w:hint="eastAsia" w:ascii="宋体" w:hAnsi="宋体" w:cs="宋体"/>
                <w:color w:val="auto"/>
                <w:szCs w:val="21"/>
              </w:rPr>
            </w:pPr>
          </w:p>
        </w:tc>
        <w:tc>
          <w:tcPr>
            <w:tcW w:w="804" w:type="dxa"/>
            <w:vAlign w:val="center"/>
          </w:tcPr>
          <w:p>
            <w:pPr>
              <w:spacing w:line="360" w:lineRule="auto"/>
              <w:rPr>
                <w:rFonts w:hint="eastAsia" w:ascii="宋体" w:hAnsi="宋体" w:cs="宋体"/>
                <w:color w:val="auto"/>
                <w:szCs w:val="21"/>
              </w:rPr>
            </w:pPr>
          </w:p>
        </w:tc>
        <w:tc>
          <w:tcPr>
            <w:tcW w:w="1320" w:type="dxa"/>
            <w:vAlign w:val="center"/>
          </w:tcPr>
          <w:p>
            <w:pPr>
              <w:spacing w:line="360" w:lineRule="auto"/>
              <w:rPr>
                <w:rFonts w:hint="eastAsia" w:ascii="宋体" w:hAnsi="宋体" w:cs="宋体"/>
                <w:color w:val="auto"/>
                <w:szCs w:val="21"/>
              </w:rPr>
            </w:pPr>
          </w:p>
        </w:tc>
        <w:tc>
          <w:tcPr>
            <w:tcW w:w="953" w:type="dxa"/>
            <w:vAlign w:val="center"/>
          </w:tcPr>
          <w:p>
            <w:pPr>
              <w:spacing w:line="360" w:lineRule="auto"/>
              <w:rPr>
                <w:rFonts w:hint="eastAsia" w:ascii="宋体" w:hAnsi="宋体" w:cs="宋体"/>
                <w:color w:val="auto"/>
                <w:szCs w:val="21"/>
              </w:rPr>
            </w:pPr>
          </w:p>
        </w:tc>
        <w:tc>
          <w:tcPr>
            <w:tcW w:w="1149" w:type="dxa"/>
            <w:vAlign w:val="center"/>
          </w:tcPr>
          <w:p>
            <w:pPr>
              <w:spacing w:line="360" w:lineRule="auto"/>
              <w:rPr>
                <w:rFonts w:hint="eastAsia" w:ascii="宋体" w:hAnsi="宋体" w:cs="宋体"/>
                <w:color w:val="auto"/>
                <w:szCs w:val="21"/>
              </w:rPr>
            </w:pPr>
          </w:p>
        </w:tc>
        <w:tc>
          <w:tcPr>
            <w:tcW w:w="753" w:type="dxa"/>
            <w:vAlign w:val="center"/>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60" w:lineRule="auto"/>
              <w:rPr>
                <w:rFonts w:hint="eastAsia" w:ascii="宋体" w:hAnsi="宋体" w:cs="宋体"/>
                <w:color w:val="auto"/>
                <w:szCs w:val="21"/>
              </w:rPr>
            </w:pPr>
          </w:p>
        </w:tc>
        <w:tc>
          <w:tcPr>
            <w:tcW w:w="1183" w:type="dxa"/>
            <w:vAlign w:val="center"/>
          </w:tcPr>
          <w:p>
            <w:pPr>
              <w:spacing w:line="360" w:lineRule="auto"/>
              <w:rPr>
                <w:rFonts w:hint="eastAsia" w:ascii="宋体" w:hAnsi="宋体" w:cs="宋体"/>
                <w:color w:val="auto"/>
                <w:szCs w:val="21"/>
              </w:rPr>
            </w:pPr>
          </w:p>
        </w:tc>
        <w:tc>
          <w:tcPr>
            <w:tcW w:w="829" w:type="dxa"/>
            <w:vAlign w:val="center"/>
          </w:tcPr>
          <w:p>
            <w:pPr>
              <w:spacing w:line="360" w:lineRule="auto"/>
              <w:rPr>
                <w:rFonts w:hint="eastAsia" w:ascii="宋体" w:hAnsi="宋体" w:cs="宋体"/>
                <w:color w:val="auto"/>
                <w:szCs w:val="21"/>
              </w:rPr>
            </w:pPr>
          </w:p>
        </w:tc>
        <w:tc>
          <w:tcPr>
            <w:tcW w:w="1078" w:type="dxa"/>
            <w:vAlign w:val="center"/>
          </w:tcPr>
          <w:p>
            <w:pPr>
              <w:spacing w:line="360" w:lineRule="auto"/>
              <w:rPr>
                <w:rFonts w:hint="eastAsia" w:ascii="宋体" w:hAnsi="宋体" w:cs="宋体"/>
                <w:color w:val="auto"/>
                <w:szCs w:val="21"/>
              </w:rPr>
            </w:pPr>
          </w:p>
        </w:tc>
        <w:tc>
          <w:tcPr>
            <w:tcW w:w="732" w:type="dxa"/>
            <w:vAlign w:val="center"/>
          </w:tcPr>
          <w:p>
            <w:pPr>
              <w:spacing w:line="360" w:lineRule="auto"/>
              <w:rPr>
                <w:rFonts w:hint="eastAsia" w:ascii="宋体" w:hAnsi="宋体" w:cs="宋体"/>
                <w:color w:val="auto"/>
                <w:szCs w:val="21"/>
              </w:rPr>
            </w:pPr>
          </w:p>
        </w:tc>
        <w:tc>
          <w:tcPr>
            <w:tcW w:w="804" w:type="dxa"/>
            <w:vAlign w:val="center"/>
          </w:tcPr>
          <w:p>
            <w:pPr>
              <w:spacing w:line="360" w:lineRule="auto"/>
              <w:rPr>
                <w:rFonts w:hint="eastAsia" w:ascii="宋体" w:hAnsi="宋体" w:cs="宋体"/>
                <w:color w:val="auto"/>
                <w:szCs w:val="21"/>
              </w:rPr>
            </w:pPr>
          </w:p>
        </w:tc>
        <w:tc>
          <w:tcPr>
            <w:tcW w:w="1320" w:type="dxa"/>
            <w:vAlign w:val="center"/>
          </w:tcPr>
          <w:p>
            <w:pPr>
              <w:spacing w:line="360" w:lineRule="auto"/>
              <w:rPr>
                <w:rFonts w:hint="eastAsia" w:ascii="宋体" w:hAnsi="宋体" w:cs="宋体"/>
                <w:color w:val="auto"/>
                <w:szCs w:val="21"/>
              </w:rPr>
            </w:pPr>
          </w:p>
        </w:tc>
        <w:tc>
          <w:tcPr>
            <w:tcW w:w="953" w:type="dxa"/>
            <w:vAlign w:val="center"/>
          </w:tcPr>
          <w:p>
            <w:pPr>
              <w:spacing w:line="360" w:lineRule="auto"/>
              <w:rPr>
                <w:rFonts w:hint="eastAsia" w:ascii="宋体" w:hAnsi="宋体" w:cs="宋体"/>
                <w:color w:val="auto"/>
                <w:szCs w:val="21"/>
              </w:rPr>
            </w:pPr>
          </w:p>
        </w:tc>
        <w:tc>
          <w:tcPr>
            <w:tcW w:w="1149" w:type="dxa"/>
            <w:vAlign w:val="center"/>
          </w:tcPr>
          <w:p>
            <w:pPr>
              <w:spacing w:line="360" w:lineRule="auto"/>
              <w:rPr>
                <w:rFonts w:hint="eastAsia" w:ascii="宋体" w:hAnsi="宋体" w:cs="宋体"/>
                <w:color w:val="auto"/>
                <w:szCs w:val="21"/>
              </w:rPr>
            </w:pPr>
          </w:p>
        </w:tc>
        <w:tc>
          <w:tcPr>
            <w:tcW w:w="753" w:type="dxa"/>
            <w:vAlign w:val="center"/>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top"/>
          </w:tcPr>
          <w:p>
            <w:pPr>
              <w:spacing w:line="360" w:lineRule="auto"/>
              <w:rPr>
                <w:rFonts w:hint="eastAsia" w:ascii="宋体" w:hAnsi="宋体" w:cs="宋体"/>
                <w:color w:val="auto"/>
                <w:szCs w:val="21"/>
              </w:rPr>
            </w:pPr>
          </w:p>
        </w:tc>
        <w:tc>
          <w:tcPr>
            <w:tcW w:w="1183" w:type="dxa"/>
            <w:vAlign w:val="top"/>
          </w:tcPr>
          <w:p>
            <w:pPr>
              <w:spacing w:line="360" w:lineRule="auto"/>
              <w:rPr>
                <w:rFonts w:hint="eastAsia" w:ascii="宋体" w:hAnsi="宋体" w:cs="宋体"/>
                <w:color w:val="auto"/>
                <w:szCs w:val="21"/>
              </w:rPr>
            </w:pPr>
          </w:p>
        </w:tc>
        <w:tc>
          <w:tcPr>
            <w:tcW w:w="829" w:type="dxa"/>
            <w:vAlign w:val="top"/>
          </w:tcPr>
          <w:p>
            <w:pPr>
              <w:spacing w:line="360" w:lineRule="auto"/>
              <w:rPr>
                <w:rFonts w:hint="eastAsia" w:ascii="宋体" w:hAnsi="宋体" w:cs="宋体"/>
                <w:color w:val="auto"/>
                <w:szCs w:val="21"/>
              </w:rPr>
            </w:pPr>
          </w:p>
        </w:tc>
        <w:tc>
          <w:tcPr>
            <w:tcW w:w="1078" w:type="dxa"/>
            <w:vAlign w:val="top"/>
          </w:tcPr>
          <w:p>
            <w:pPr>
              <w:spacing w:line="360" w:lineRule="auto"/>
              <w:rPr>
                <w:rFonts w:hint="eastAsia" w:ascii="宋体" w:hAnsi="宋体" w:cs="宋体"/>
                <w:color w:val="auto"/>
                <w:szCs w:val="21"/>
              </w:rPr>
            </w:pPr>
          </w:p>
        </w:tc>
        <w:tc>
          <w:tcPr>
            <w:tcW w:w="732" w:type="dxa"/>
            <w:vAlign w:val="top"/>
          </w:tcPr>
          <w:p>
            <w:pPr>
              <w:spacing w:line="360" w:lineRule="auto"/>
              <w:rPr>
                <w:rFonts w:hint="eastAsia" w:ascii="宋体" w:hAnsi="宋体" w:cs="宋体"/>
                <w:color w:val="auto"/>
                <w:szCs w:val="21"/>
              </w:rPr>
            </w:pPr>
          </w:p>
        </w:tc>
        <w:tc>
          <w:tcPr>
            <w:tcW w:w="804" w:type="dxa"/>
            <w:vAlign w:val="top"/>
          </w:tcPr>
          <w:p>
            <w:pPr>
              <w:spacing w:line="360" w:lineRule="auto"/>
              <w:rPr>
                <w:rFonts w:hint="eastAsia" w:ascii="宋体" w:hAnsi="宋体" w:cs="宋体"/>
                <w:color w:val="auto"/>
                <w:szCs w:val="21"/>
              </w:rPr>
            </w:pPr>
          </w:p>
        </w:tc>
        <w:tc>
          <w:tcPr>
            <w:tcW w:w="1320" w:type="dxa"/>
            <w:vAlign w:val="top"/>
          </w:tcPr>
          <w:p>
            <w:pPr>
              <w:spacing w:line="360" w:lineRule="auto"/>
              <w:rPr>
                <w:rFonts w:hint="eastAsia" w:ascii="宋体" w:hAnsi="宋体" w:cs="宋体"/>
                <w:color w:val="auto"/>
                <w:szCs w:val="21"/>
              </w:rPr>
            </w:pPr>
          </w:p>
        </w:tc>
        <w:tc>
          <w:tcPr>
            <w:tcW w:w="953" w:type="dxa"/>
            <w:vAlign w:val="top"/>
          </w:tcPr>
          <w:p>
            <w:pPr>
              <w:spacing w:line="360" w:lineRule="auto"/>
              <w:rPr>
                <w:rFonts w:hint="eastAsia" w:ascii="宋体" w:hAnsi="宋体" w:cs="宋体"/>
                <w:color w:val="auto"/>
                <w:szCs w:val="21"/>
              </w:rPr>
            </w:pPr>
          </w:p>
        </w:tc>
        <w:tc>
          <w:tcPr>
            <w:tcW w:w="1149" w:type="dxa"/>
            <w:vAlign w:val="top"/>
          </w:tcPr>
          <w:p>
            <w:pPr>
              <w:spacing w:line="360" w:lineRule="auto"/>
              <w:rPr>
                <w:rFonts w:hint="eastAsia" w:ascii="宋体" w:hAnsi="宋体" w:cs="宋体"/>
                <w:color w:val="auto"/>
                <w:szCs w:val="21"/>
              </w:rPr>
            </w:pPr>
          </w:p>
        </w:tc>
        <w:tc>
          <w:tcPr>
            <w:tcW w:w="753" w:type="dxa"/>
            <w:vAlign w:val="top"/>
          </w:tcPr>
          <w:p>
            <w:pPr>
              <w:spacing w:line="360" w:lineRule="auto"/>
              <w:rPr>
                <w:rFonts w:hint="eastAsia" w:ascii="宋体" w:hAnsi="宋体" w:cs="宋体"/>
                <w:color w:val="auto"/>
                <w:szCs w:val="21"/>
              </w:rPr>
            </w:pPr>
          </w:p>
        </w:tc>
      </w:tr>
    </w:tbl>
    <w:p>
      <w:pPr>
        <w:spacing w:line="360" w:lineRule="auto"/>
        <w:rPr>
          <w:rFonts w:hint="eastAsia" w:ascii="宋体" w:hAnsi="宋体" w:cs="宋体"/>
          <w:color w:val="auto"/>
          <w:szCs w:val="21"/>
        </w:rPr>
      </w:pPr>
    </w:p>
    <w:p>
      <w:pPr>
        <w:pStyle w:val="130"/>
        <w:spacing w:line="360" w:lineRule="auto"/>
        <w:outlineLvl w:val="9"/>
        <w:rPr>
          <w:rFonts w:hint="eastAsia" w:ascii="宋体" w:hAnsi="宋体" w:eastAsia="宋体"/>
          <w:color w:val="auto"/>
          <w:sz w:val="21"/>
          <w:szCs w:val="21"/>
        </w:rPr>
      </w:pPr>
      <w:bookmarkStart w:id="1111" w:name="_Toc23330"/>
      <w:bookmarkStart w:id="1112" w:name="_Toc5447"/>
      <w:bookmarkStart w:id="1113" w:name="_Toc22158"/>
      <w:bookmarkStart w:id="1114" w:name="_Toc364354830"/>
      <w:bookmarkStart w:id="1115" w:name="_Toc7838"/>
      <w:bookmarkStart w:id="1116" w:name="_Toc221952101"/>
      <w:bookmarkStart w:id="1117" w:name="_Toc168475926"/>
      <w:bookmarkStart w:id="1118" w:name="_Toc144974867"/>
      <w:bookmarkStart w:id="1119" w:name="_Toc168476329"/>
      <w:r>
        <w:rPr>
          <w:rFonts w:hint="eastAsia" w:ascii="宋体" w:hAnsi="宋体" w:eastAsia="宋体"/>
          <w:color w:val="auto"/>
          <w:sz w:val="21"/>
          <w:szCs w:val="21"/>
        </w:rPr>
        <w:br w:type="page"/>
      </w:r>
      <w:bookmarkStart w:id="1120" w:name="_Toc7018"/>
      <w:bookmarkStart w:id="1121" w:name="_Toc28261_WPSOffice_Level2"/>
      <w:bookmarkStart w:id="1122" w:name="_Toc28468_WPSOffice_Level2"/>
      <w:bookmarkStart w:id="1123" w:name="_Toc3190_WPSOffice_Level2"/>
      <w:bookmarkStart w:id="1124" w:name="_Toc22829_WPSOffice_Level2"/>
      <w:bookmarkStart w:id="1125" w:name="_Toc20979_WPSOffice_Level2"/>
      <w:bookmarkStart w:id="1126" w:name="_Toc18385_WPSOffice_Level2"/>
      <w:r>
        <w:rPr>
          <w:rFonts w:hint="eastAsia" w:ascii="宋体" w:hAnsi="宋体" w:eastAsia="宋体"/>
          <w:color w:val="auto"/>
          <w:sz w:val="20"/>
          <w:szCs w:val="20"/>
        </w:rPr>
        <w:t>附表二：拟投入本标段的劳动力计划表</w:t>
      </w:r>
      <w:bookmarkEnd w:id="1111"/>
      <w:bookmarkEnd w:id="1112"/>
      <w:bookmarkEnd w:id="1113"/>
      <w:bookmarkEnd w:id="1114"/>
      <w:bookmarkEnd w:id="1115"/>
      <w:bookmarkEnd w:id="1120"/>
      <w:bookmarkEnd w:id="1121"/>
      <w:bookmarkEnd w:id="1122"/>
      <w:bookmarkEnd w:id="1123"/>
      <w:bookmarkEnd w:id="1124"/>
      <w:bookmarkEnd w:id="1125"/>
      <w:bookmarkEnd w:id="1126"/>
    </w:p>
    <w:bookmarkEnd w:id="1116"/>
    <w:bookmarkEnd w:id="1117"/>
    <w:bookmarkEnd w:id="1118"/>
    <w:bookmarkEnd w:id="1119"/>
    <w:p>
      <w:pPr>
        <w:spacing w:line="360" w:lineRule="auto"/>
        <w:jc w:val="center"/>
        <w:rPr>
          <w:rFonts w:hint="eastAsia" w:ascii="宋体" w:hAnsi="宋体" w:cs="宋体"/>
          <w:b/>
          <w:color w:val="auto"/>
          <w:szCs w:val="21"/>
        </w:rPr>
      </w:pPr>
      <w:bookmarkStart w:id="1127" w:name="_Toc266524772"/>
      <w:bookmarkStart w:id="1128" w:name="_Toc266113456"/>
      <w:bookmarkStart w:id="1129" w:name="_Toc14941_WPSOffice_Level2"/>
      <w:bookmarkStart w:id="1130" w:name="_Toc18463_WPSOffice_Level2"/>
      <w:bookmarkStart w:id="1131" w:name="_Toc27311_WPSOffice_Level2"/>
      <w:bookmarkStart w:id="1132" w:name="_Toc25021_WPSOffice_Level2"/>
      <w:bookmarkStart w:id="1133" w:name="_Toc2736_WPSOffice_Level2"/>
      <w:bookmarkStart w:id="1134" w:name="_Toc7394_WPSOffice_Level2"/>
      <w:bookmarkStart w:id="1135" w:name="_Toc221952102"/>
      <w:r>
        <w:rPr>
          <w:rFonts w:hint="eastAsia" w:ascii="宋体" w:hAnsi="宋体" w:cs="宋体"/>
          <w:b/>
          <w:color w:val="auto"/>
          <w:szCs w:val="21"/>
        </w:rPr>
        <w:t>拟投入本标段的劳动力计划表</w:t>
      </w:r>
      <w:bookmarkEnd w:id="1127"/>
      <w:bookmarkEnd w:id="1128"/>
      <w:bookmarkEnd w:id="1129"/>
      <w:bookmarkEnd w:id="1130"/>
      <w:bookmarkEnd w:id="1131"/>
      <w:bookmarkEnd w:id="1132"/>
      <w:bookmarkEnd w:id="1133"/>
      <w:bookmarkEnd w:id="1134"/>
    </w:p>
    <w:p>
      <w:pPr>
        <w:spacing w:line="360" w:lineRule="auto"/>
        <w:ind w:right="200"/>
        <w:jc w:val="right"/>
        <w:rPr>
          <w:rFonts w:hint="eastAsia" w:ascii="宋体" w:hAnsi="宋体" w:cs="宋体"/>
          <w:color w:val="auto"/>
          <w:szCs w:val="21"/>
        </w:rPr>
      </w:pPr>
      <w:r>
        <w:rPr>
          <w:rFonts w:hint="eastAsia" w:ascii="宋体" w:hAnsi="宋体" w:cs="宋体"/>
          <w:color w:val="auto"/>
          <w:szCs w:val="21"/>
        </w:rPr>
        <w:t>单位：人</w:t>
      </w:r>
      <w:bookmarkEnd w:id="1135"/>
    </w:p>
    <w:tbl>
      <w:tblPr>
        <w:tblStyle w:val="5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20"/>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02" w:type="dxa"/>
            <w:vAlign w:val="center"/>
          </w:tcPr>
          <w:p>
            <w:pPr>
              <w:spacing w:line="360" w:lineRule="auto"/>
              <w:jc w:val="center"/>
              <w:rPr>
                <w:rFonts w:hint="eastAsia" w:ascii="宋体" w:hAnsi="宋体" w:cs="宋体"/>
                <w:color w:val="auto"/>
                <w:szCs w:val="21"/>
              </w:rPr>
            </w:pPr>
            <w:bookmarkStart w:id="1136" w:name="_Toc221952103"/>
            <w:r>
              <w:rPr>
                <w:rFonts w:hint="eastAsia" w:ascii="宋体" w:hAnsi="宋体" w:cs="宋体"/>
                <w:color w:val="auto"/>
                <w:szCs w:val="21"/>
              </w:rPr>
              <w:t>工种</w:t>
            </w:r>
            <w:bookmarkEnd w:id="1136"/>
          </w:p>
        </w:tc>
        <w:tc>
          <w:tcPr>
            <w:tcW w:w="8384" w:type="dxa"/>
            <w:gridSpan w:val="7"/>
            <w:vAlign w:val="center"/>
          </w:tcPr>
          <w:p>
            <w:pPr>
              <w:spacing w:line="360" w:lineRule="auto"/>
              <w:jc w:val="center"/>
              <w:rPr>
                <w:rFonts w:hint="eastAsia" w:ascii="宋体" w:hAnsi="宋体" w:cs="宋体"/>
                <w:color w:val="auto"/>
                <w:szCs w:val="21"/>
              </w:rPr>
            </w:pPr>
            <w:bookmarkStart w:id="1137" w:name="_Toc221952104"/>
            <w:r>
              <w:rPr>
                <w:rFonts w:hint="eastAsia" w:ascii="宋体" w:hAnsi="宋体" w:cs="宋体"/>
                <w:color w:val="auto"/>
                <w:szCs w:val="21"/>
              </w:rPr>
              <w:t>按工程施工阶段投入劳动力情况</w:t>
            </w:r>
            <w:bookmarkEnd w:id="1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spacing w:line="360" w:lineRule="auto"/>
              <w:jc w:val="center"/>
              <w:rPr>
                <w:rFonts w:hint="eastAsia" w:ascii="宋体" w:hAnsi="宋体" w:cs="宋体"/>
                <w:color w:val="auto"/>
                <w:szCs w:val="21"/>
              </w:rPr>
            </w:pPr>
          </w:p>
        </w:tc>
        <w:tc>
          <w:tcPr>
            <w:tcW w:w="1420"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59" w:type="dxa"/>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spacing w:line="360" w:lineRule="auto"/>
              <w:jc w:val="center"/>
              <w:rPr>
                <w:rFonts w:hint="eastAsia" w:ascii="宋体" w:hAnsi="宋体" w:cs="宋体"/>
                <w:color w:val="auto"/>
                <w:szCs w:val="21"/>
              </w:rPr>
            </w:pPr>
          </w:p>
        </w:tc>
        <w:tc>
          <w:tcPr>
            <w:tcW w:w="1420"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61" w:type="dxa"/>
            <w:vAlign w:val="center"/>
          </w:tcPr>
          <w:p>
            <w:pPr>
              <w:spacing w:line="360" w:lineRule="auto"/>
              <w:jc w:val="center"/>
              <w:rPr>
                <w:rFonts w:hint="eastAsia" w:ascii="宋体" w:hAnsi="宋体" w:cs="宋体"/>
                <w:color w:val="auto"/>
                <w:szCs w:val="21"/>
              </w:rPr>
            </w:pPr>
          </w:p>
        </w:tc>
        <w:tc>
          <w:tcPr>
            <w:tcW w:w="1159" w:type="dxa"/>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top"/>
          </w:tcPr>
          <w:p>
            <w:pPr>
              <w:spacing w:line="360" w:lineRule="auto"/>
              <w:jc w:val="center"/>
              <w:rPr>
                <w:rFonts w:hint="eastAsia" w:ascii="宋体" w:hAnsi="宋体" w:cs="宋体"/>
                <w:color w:val="auto"/>
                <w:szCs w:val="21"/>
              </w:rPr>
            </w:pPr>
          </w:p>
        </w:tc>
        <w:tc>
          <w:tcPr>
            <w:tcW w:w="1420"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61" w:type="dxa"/>
            <w:vAlign w:val="top"/>
          </w:tcPr>
          <w:p>
            <w:pPr>
              <w:spacing w:line="360" w:lineRule="auto"/>
              <w:jc w:val="center"/>
              <w:rPr>
                <w:rFonts w:hint="eastAsia" w:ascii="宋体" w:hAnsi="宋体" w:cs="宋体"/>
                <w:color w:val="auto"/>
                <w:szCs w:val="21"/>
              </w:rPr>
            </w:pPr>
          </w:p>
        </w:tc>
        <w:tc>
          <w:tcPr>
            <w:tcW w:w="1159" w:type="dxa"/>
            <w:vAlign w:val="top"/>
          </w:tcPr>
          <w:p>
            <w:pPr>
              <w:spacing w:line="360" w:lineRule="auto"/>
              <w:jc w:val="center"/>
              <w:rPr>
                <w:rFonts w:hint="eastAsia" w:ascii="宋体" w:hAnsi="宋体" w:cs="宋体"/>
                <w:color w:val="auto"/>
                <w:szCs w:val="21"/>
              </w:rPr>
            </w:pPr>
          </w:p>
        </w:tc>
      </w:tr>
    </w:tbl>
    <w:p>
      <w:pPr>
        <w:pStyle w:val="130"/>
        <w:spacing w:line="360" w:lineRule="auto"/>
        <w:outlineLvl w:val="9"/>
        <w:rPr>
          <w:rFonts w:hint="eastAsia" w:ascii="宋体" w:hAnsi="宋体" w:eastAsia="宋体"/>
          <w:color w:val="auto"/>
          <w:sz w:val="21"/>
          <w:szCs w:val="21"/>
        </w:rPr>
      </w:pPr>
      <w:bookmarkStart w:id="1138" w:name="_Toc168476330"/>
      <w:bookmarkStart w:id="1139" w:name="_Toc168475927"/>
      <w:bookmarkStart w:id="1140" w:name="_Toc14282"/>
      <w:bookmarkStart w:id="1141" w:name="_Toc221952105"/>
      <w:bookmarkStart w:id="1142" w:name="_Toc7620"/>
      <w:bookmarkStart w:id="1143" w:name="_Toc144974868"/>
      <w:bookmarkStart w:id="1144" w:name="_Toc1783"/>
      <w:bookmarkStart w:id="1145" w:name="_Toc11237"/>
      <w:bookmarkStart w:id="1146" w:name="_Toc24373"/>
      <w:bookmarkStart w:id="1147" w:name="_Toc364354831"/>
    </w:p>
    <w:p>
      <w:pPr>
        <w:pStyle w:val="130"/>
        <w:spacing w:line="360" w:lineRule="auto"/>
        <w:outlineLvl w:val="9"/>
        <w:rPr>
          <w:rFonts w:hint="eastAsia" w:ascii="宋体" w:hAnsi="宋体"/>
          <w:b/>
          <w:color w:val="auto"/>
          <w:sz w:val="20"/>
          <w:szCs w:val="20"/>
        </w:rPr>
      </w:pPr>
      <w:bookmarkStart w:id="1148" w:name="_Toc1154_WPSOffice_Level2"/>
      <w:bookmarkStart w:id="1149" w:name="_Toc13334_WPSOffice_Level2"/>
      <w:bookmarkStart w:id="1150" w:name="_Toc14356_WPSOffice_Level2"/>
      <w:r>
        <w:rPr>
          <w:rFonts w:hint="eastAsia" w:ascii="宋体" w:hAnsi="宋体" w:eastAsia="宋体"/>
          <w:color w:val="auto"/>
          <w:sz w:val="21"/>
          <w:szCs w:val="21"/>
        </w:rPr>
        <w:br w:type="page"/>
      </w:r>
      <w:bookmarkStart w:id="1151" w:name="_Toc21580_WPSOffice_Level2"/>
      <w:bookmarkStart w:id="1152" w:name="_Toc7025_WPSOffice_Level2"/>
      <w:bookmarkStart w:id="1153" w:name="_Toc29970_WPSOffice_Level2"/>
      <w:r>
        <w:rPr>
          <w:rFonts w:hint="eastAsia" w:ascii="宋体" w:hAnsi="宋体" w:eastAsia="宋体"/>
          <w:color w:val="auto"/>
          <w:sz w:val="20"/>
          <w:szCs w:val="20"/>
        </w:rPr>
        <w:t>附表三：计划开工日期、完工日期和施工进度网络图</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Start w:id="1154" w:name="_Toc266524774"/>
      <w:bookmarkStart w:id="1155" w:name="_Toc266113458"/>
    </w:p>
    <w:bookmarkEnd w:id="1154"/>
    <w:bookmarkEnd w:id="1155"/>
    <w:p>
      <w:pPr>
        <w:spacing w:line="360" w:lineRule="auto"/>
        <w:ind w:firstLine="400" w:firstLineChars="200"/>
        <w:rPr>
          <w:rFonts w:hint="eastAsia" w:ascii="宋体" w:hAnsi="宋体" w:cs="宋体"/>
          <w:color w:val="auto"/>
          <w:sz w:val="20"/>
          <w:szCs w:val="20"/>
        </w:rPr>
      </w:pPr>
      <w:bookmarkStart w:id="1156" w:name="_Toc221952106"/>
      <w:r>
        <w:rPr>
          <w:rFonts w:hint="eastAsia" w:ascii="宋体" w:hAnsi="宋体" w:cs="宋体"/>
          <w:color w:val="auto"/>
          <w:sz w:val="20"/>
          <w:szCs w:val="20"/>
        </w:rPr>
        <w:t>1. 投标人应递交施工进度网络图或施工进度表，说明按招标文件要求的计划工期进行施工的各个关键日期。</w:t>
      </w:r>
      <w:bookmarkEnd w:id="1156"/>
    </w:p>
    <w:p>
      <w:pPr>
        <w:spacing w:line="360" w:lineRule="auto"/>
        <w:ind w:firstLine="400" w:firstLineChars="200"/>
        <w:rPr>
          <w:rFonts w:hint="eastAsia" w:ascii="宋体" w:hAnsi="宋体" w:cs="宋体"/>
          <w:color w:val="auto"/>
          <w:sz w:val="20"/>
          <w:szCs w:val="20"/>
        </w:rPr>
      </w:pPr>
      <w:bookmarkStart w:id="1157" w:name="_Toc221952107"/>
      <w:r>
        <w:rPr>
          <w:rFonts w:hint="eastAsia" w:ascii="宋体" w:hAnsi="宋体" w:cs="宋体"/>
          <w:color w:val="auto"/>
          <w:sz w:val="20"/>
          <w:szCs w:val="20"/>
        </w:rPr>
        <w:t xml:space="preserve">2. </w:t>
      </w:r>
      <w:bookmarkEnd w:id="1157"/>
      <w:r>
        <w:rPr>
          <w:rFonts w:hint="eastAsia" w:ascii="宋体" w:hAnsi="宋体" w:cs="宋体"/>
          <w:color w:val="auto"/>
          <w:sz w:val="20"/>
          <w:szCs w:val="20"/>
        </w:rPr>
        <w:t>施工进度表采用网络图表示。</w:t>
      </w:r>
    </w:p>
    <w:p>
      <w:pPr>
        <w:tabs>
          <w:tab w:val="left" w:pos="720"/>
        </w:tabs>
        <w:spacing w:after="160" w:line="440" w:lineRule="exact"/>
        <w:ind w:firstLine="756"/>
        <w:rPr>
          <w:rFonts w:ascii="宋体" w:hAnsi="宋体"/>
          <w:color w:val="auto"/>
        </w:rPr>
      </w:pPr>
    </w:p>
    <w:p>
      <w:pPr>
        <w:tabs>
          <w:tab w:val="left" w:pos="720"/>
        </w:tabs>
        <w:spacing w:after="160" w:line="440" w:lineRule="exact"/>
        <w:ind w:firstLine="756"/>
        <w:rPr>
          <w:rFonts w:ascii="宋体" w:hAnsi="宋体"/>
          <w:color w:val="auto"/>
        </w:rPr>
      </w:pPr>
    </w:p>
    <w:p>
      <w:pPr>
        <w:tabs>
          <w:tab w:val="left" w:pos="720"/>
        </w:tabs>
        <w:spacing w:after="160" w:line="440" w:lineRule="exact"/>
        <w:ind w:firstLine="756"/>
        <w:rPr>
          <w:rFonts w:ascii="宋体" w:hAnsi="宋体"/>
          <w:color w:val="auto"/>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line="440" w:lineRule="exact"/>
        <w:rPr>
          <w:rFonts w:ascii="宋体" w:hAnsi="宋体"/>
          <w:color w:val="auto"/>
          <w:sz w:val="20"/>
        </w:rPr>
      </w:pPr>
    </w:p>
    <w:p>
      <w:pPr>
        <w:spacing w:after="160"/>
        <w:jc w:val="center"/>
        <w:rPr>
          <w:rFonts w:ascii="宋体" w:hAnsi="宋体"/>
          <w:b/>
          <w:color w:val="auto"/>
        </w:rPr>
      </w:pPr>
      <w:bookmarkStart w:id="1158" w:name="_Toc144974871"/>
      <w:bookmarkStart w:id="1159" w:name="_Toc179632823"/>
      <w:bookmarkStart w:id="1160" w:name="_Toc152045803"/>
      <w:bookmarkStart w:id="1161" w:name="_Toc152042592"/>
    </w:p>
    <w:p>
      <w:pPr>
        <w:spacing w:after="160"/>
        <w:jc w:val="center"/>
        <w:rPr>
          <w:rFonts w:ascii="宋体" w:hAnsi="宋体"/>
          <w:b/>
          <w:color w:val="auto"/>
        </w:rPr>
      </w:pPr>
    </w:p>
    <w:p>
      <w:pPr>
        <w:spacing w:after="160"/>
        <w:jc w:val="center"/>
        <w:rPr>
          <w:rFonts w:ascii="宋体" w:hAnsi="宋体"/>
          <w:b/>
          <w:color w:val="auto"/>
        </w:rPr>
      </w:pPr>
    </w:p>
    <w:p>
      <w:pPr>
        <w:spacing w:after="160"/>
        <w:jc w:val="center"/>
        <w:rPr>
          <w:rFonts w:ascii="宋体" w:hAnsi="宋体"/>
          <w:b/>
          <w:color w:val="auto"/>
        </w:rPr>
      </w:pPr>
    </w:p>
    <w:p>
      <w:pPr>
        <w:spacing w:after="160"/>
        <w:rPr>
          <w:rFonts w:ascii="宋体" w:hAnsi="宋体"/>
          <w:b/>
          <w:color w:val="auto"/>
        </w:rPr>
      </w:pPr>
    </w:p>
    <w:p>
      <w:pPr>
        <w:pStyle w:val="146"/>
        <w:spacing w:after="160"/>
        <w:jc w:val="center"/>
        <w:rPr>
          <w:rFonts w:ascii="宋体" w:hAnsi="宋体"/>
          <w:b/>
          <w:color w:val="auto"/>
        </w:rPr>
      </w:pPr>
      <w:bookmarkStart w:id="1162" w:name="_Toc24969"/>
      <w:bookmarkStart w:id="1163" w:name="_Toc16810778"/>
      <w:bookmarkStart w:id="1164" w:name="_Toc32619_WPSOffice_Level1"/>
      <w:r>
        <w:rPr>
          <w:rFonts w:ascii="宋体" w:hAnsi="宋体"/>
          <w:b/>
          <w:color w:val="auto"/>
        </w:rPr>
        <w:t>六、项目管理机构</w:t>
      </w:r>
      <w:bookmarkEnd w:id="1158"/>
      <w:bookmarkEnd w:id="1159"/>
      <w:bookmarkEnd w:id="1160"/>
      <w:bookmarkEnd w:id="1161"/>
      <w:bookmarkEnd w:id="1162"/>
      <w:bookmarkEnd w:id="1163"/>
      <w:bookmarkEnd w:id="1164"/>
    </w:p>
    <w:p>
      <w:pPr>
        <w:pStyle w:val="130"/>
        <w:spacing w:after="120"/>
        <w:rPr>
          <w:color w:val="auto"/>
          <w:sz w:val="21"/>
          <w:szCs w:val="21"/>
        </w:rPr>
      </w:pPr>
      <w:bookmarkStart w:id="1165" w:name="_Toc144974872"/>
      <w:bookmarkStart w:id="1166" w:name="_Toc179632824"/>
      <w:bookmarkStart w:id="1167" w:name="_Toc464137955"/>
      <w:bookmarkStart w:id="1168" w:name="_Toc152045804"/>
      <w:bookmarkStart w:id="1169" w:name="_Toc152042593"/>
      <w:bookmarkStart w:id="1170" w:name="_Toc27130"/>
      <w:r>
        <w:rPr>
          <w:color w:val="auto"/>
          <w:sz w:val="21"/>
          <w:szCs w:val="21"/>
        </w:rPr>
        <w:t>（一）项目管理机构组成表</w:t>
      </w:r>
      <w:bookmarkEnd w:id="1165"/>
      <w:bookmarkEnd w:id="1166"/>
      <w:bookmarkEnd w:id="1167"/>
      <w:bookmarkEnd w:id="1168"/>
      <w:bookmarkEnd w:id="1169"/>
      <w:bookmarkEnd w:id="1170"/>
    </w:p>
    <w:tbl>
      <w:tblPr>
        <w:tblStyle w:val="54"/>
        <w:tblW w:w="89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834"/>
        <w:gridCol w:w="832"/>
        <w:gridCol w:w="1249"/>
        <w:gridCol w:w="832"/>
        <w:gridCol w:w="834"/>
        <w:gridCol w:w="832"/>
        <w:gridCol w:w="2027"/>
        <w:gridCol w:w="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Merge w:val="restart"/>
            <w:vAlign w:val="center"/>
          </w:tcPr>
          <w:p>
            <w:pPr>
              <w:spacing w:after="160" w:line="440" w:lineRule="exact"/>
              <w:jc w:val="center"/>
              <w:rPr>
                <w:rFonts w:ascii="宋体" w:hAnsi="宋体"/>
                <w:color w:val="auto"/>
              </w:rPr>
            </w:pPr>
            <w:r>
              <w:rPr>
                <w:rFonts w:ascii="宋体" w:hAnsi="宋体"/>
                <w:color w:val="auto"/>
              </w:rPr>
              <w:t>职务</w:t>
            </w:r>
          </w:p>
        </w:tc>
        <w:tc>
          <w:tcPr>
            <w:tcW w:w="834" w:type="dxa"/>
            <w:vMerge w:val="restart"/>
            <w:vAlign w:val="center"/>
          </w:tcPr>
          <w:p>
            <w:pPr>
              <w:spacing w:after="160" w:line="440" w:lineRule="exact"/>
              <w:jc w:val="center"/>
              <w:rPr>
                <w:rFonts w:ascii="宋体" w:hAnsi="宋体"/>
                <w:color w:val="auto"/>
              </w:rPr>
            </w:pPr>
            <w:r>
              <w:rPr>
                <w:rFonts w:ascii="宋体" w:hAnsi="宋体"/>
                <w:color w:val="auto"/>
              </w:rPr>
              <w:t>姓名</w:t>
            </w:r>
          </w:p>
        </w:tc>
        <w:tc>
          <w:tcPr>
            <w:tcW w:w="832" w:type="dxa"/>
            <w:vMerge w:val="restart"/>
            <w:vAlign w:val="center"/>
          </w:tcPr>
          <w:p>
            <w:pPr>
              <w:spacing w:after="160" w:line="440" w:lineRule="exact"/>
              <w:jc w:val="center"/>
              <w:rPr>
                <w:rFonts w:ascii="宋体" w:hAnsi="宋体"/>
                <w:color w:val="auto"/>
              </w:rPr>
            </w:pPr>
            <w:r>
              <w:rPr>
                <w:rFonts w:ascii="宋体" w:hAnsi="宋体"/>
                <w:color w:val="auto"/>
              </w:rPr>
              <w:t>职称</w:t>
            </w:r>
          </w:p>
        </w:tc>
        <w:tc>
          <w:tcPr>
            <w:tcW w:w="5774" w:type="dxa"/>
            <w:gridSpan w:val="5"/>
            <w:vAlign w:val="center"/>
          </w:tcPr>
          <w:p>
            <w:pPr>
              <w:spacing w:after="160" w:line="440" w:lineRule="exact"/>
              <w:jc w:val="center"/>
              <w:rPr>
                <w:rFonts w:ascii="宋体" w:hAnsi="宋体"/>
                <w:color w:val="auto"/>
              </w:rPr>
            </w:pPr>
            <w:r>
              <w:rPr>
                <w:rFonts w:ascii="宋体" w:hAnsi="宋体"/>
                <w:color w:val="auto"/>
              </w:rPr>
              <w:t>执业或职业资格证明</w:t>
            </w:r>
          </w:p>
        </w:tc>
        <w:tc>
          <w:tcPr>
            <w:tcW w:w="776" w:type="dxa"/>
            <w:vAlign w:val="center"/>
          </w:tcPr>
          <w:p>
            <w:pPr>
              <w:spacing w:after="160" w:line="440" w:lineRule="exact"/>
              <w:jc w:val="center"/>
              <w:rPr>
                <w:rFonts w:ascii="宋体" w:hAnsi="宋体"/>
                <w:color w:val="auto"/>
              </w:rPr>
            </w:pPr>
            <w:r>
              <w:rPr>
                <w:rFonts w:ascii="宋体" w:hAnsi="宋体"/>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Merge w:val="continue"/>
            <w:vAlign w:val="center"/>
          </w:tcPr>
          <w:p>
            <w:pPr>
              <w:rPr>
                <w:color w:val="auto"/>
              </w:rPr>
            </w:pPr>
          </w:p>
        </w:tc>
        <w:tc>
          <w:tcPr>
            <w:tcW w:w="834" w:type="dxa"/>
            <w:vMerge w:val="continue"/>
            <w:vAlign w:val="center"/>
          </w:tcPr>
          <w:p>
            <w:pPr>
              <w:rPr>
                <w:color w:val="auto"/>
              </w:rPr>
            </w:pPr>
          </w:p>
        </w:tc>
        <w:tc>
          <w:tcPr>
            <w:tcW w:w="832" w:type="dxa"/>
            <w:vMerge w:val="continue"/>
            <w:vAlign w:val="center"/>
          </w:tcPr>
          <w:p>
            <w:pPr>
              <w:rPr>
                <w:color w:val="auto"/>
              </w:rPr>
            </w:pPr>
          </w:p>
        </w:tc>
        <w:tc>
          <w:tcPr>
            <w:tcW w:w="1249" w:type="dxa"/>
            <w:vAlign w:val="center"/>
          </w:tcPr>
          <w:p>
            <w:pPr>
              <w:spacing w:after="160" w:line="440" w:lineRule="exact"/>
              <w:jc w:val="center"/>
              <w:rPr>
                <w:rFonts w:ascii="宋体" w:hAnsi="宋体"/>
                <w:color w:val="auto"/>
              </w:rPr>
            </w:pPr>
            <w:r>
              <w:rPr>
                <w:rFonts w:ascii="宋体" w:hAnsi="宋体"/>
                <w:color w:val="auto"/>
              </w:rPr>
              <w:t>证书名称</w:t>
            </w:r>
          </w:p>
        </w:tc>
        <w:tc>
          <w:tcPr>
            <w:tcW w:w="832" w:type="dxa"/>
            <w:vAlign w:val="center"/>
          </w:tcPr>
          <w:p>
            <w:pPr>
              <w:spacing w:after="160" w:line="440" w:lineRule="exact"/>
              <w:jc w:val="center"/>
              <w:rPr>
                <w:rFonts w:ascii="宋体" w:hAnsi="宋体"/>
                <w:color w:val="auto"/>
              </w:rPr>
            </w:pPr>
            <w:r>
              <w:rPr>
                <w:rFonts w:ascii="宋体" w:hAnsi="宋体"/>
                <w:color w:val="auto"/>
              </w:rPr>
              <w:t>级别</w:t>
            </w:r>
          </w:p>
        </w:tc>
        <w:tc>
          <w:tcPr>
            <w:tcW w:w="834" w:type="dxa"/>
            <w:vAlign w:val="center"/>
          </w:tcPr>
          <w:p>
            <w:pPr>
              <w:spacing w:after="160" w:line="440" w:lineRule="exact"/>
              <w:jc w:val="center"/>
              <w:rPr>
                <w:rFonts w:ascii="宋体" w:hAnsi="宋体"/>
                <w:color w:val="auto"/>
              </w:rPr>
            </w:pPr>
            <w:r>
              <w:rPr>
                <w:rFonts w:ascii="宋体" w:hAnsi="宋体"/>
                <w:color w:val="auto"/>
              </w:rPr>
              <w:t>证号</w:t>
            </w:r>
          </w:p>
        </w:tc>
        <w:tc>
          <w:tcPr>
            <w:tcW w:w="832" w:type="dxa"/>
            <w:vAlign w:val="center"/>
          </w:tcPr>
          <w:p>
            <w:pPr>
              <w:spacing w:after="160" w:line="440" w:lineRule="exact"/>
              <w:jc w:val="center"/>
              <w:rPr>
                <w:rFonts w:ascii="宋体" w:hAnsi="宋体"/>
                <w:color w:val="auto"/>
              </w:rPr>
            </w:pPr>
            <w:r>
              <w:rPr>
                <w:rFonts w:ascii="宋体" w:hAnsi="宋体"/>
                <w:color w:val="auto"/>
              </w:rPr>
              <w:t>专业</w:t>
            </w:r>
          </w:p>
        </w:tc>
        <w:tc>
          <w:tcPr>
            <w:tcW w:w="2027" w:type="dxa"/>
            <w:vAlign w:val="center"/>
          </w:tcPr>
          <w:p>
            <w:pPr>
              <w:spacing w:after="160" w:line="440" w:lineRule="exact"/>
              <w:jc w:val="center"/>
              <w:rPr>
                <w:rFonts w:ascii="宋体" w:hAnsi="宋体"/>
                <w:color w:val="auto"/>
              </w:rPr>
            </w:pPr>
            <w:r>
              <w:rPr>
                <w:rFonts w:ascii="宋体" w:hAnsi="宋体"/>
                <w:color w:val="auto"/>
              </w:rPr>
              <w:t>养老保险</w:t>
            </w:r>
          </w:p>
        </w:tc>
        <w:tc>
          <w:tcPr>
            <w:tcW w:w="776" w:type="dxa"/>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spacing w:after="160" w:line="440" w:lineRule="exact"/>
              <w:jc w:val="center"/>
              <w:rPr>
                <w:rFonts w:ascii="宋体" w:hAnsi="宋体"/>
                <w:color w:val="auto"/>
              </w:rPr>
            </w:pPr>
          </w:p>
        </w:tc>
        <w:tc>
          <w:tcPr>
            <w:tcW w:w="834" w:type="dxa"/>
            <w:vAlign w:val="center"/>
          </w:tcPr>
          <w:p>
            <w:pPr>
              <w:spacing w:after="160" w:line="440" w:lineRule="exact"/>
              <w:jc w:val="center"/>
              <w:rPr>
                <w:rFonts w:ascii="宋体" w:hAnsi="宋体"/>
                <w:color w:val="auto"/>
              </w:rPr>
            </w:pPr>
          </w:p>
        </w:tc>
        <w:tc>
          <w:tcPr>
            <w:tcW w:w="832" w:type="dxa"/>
            <w:vAlign w:val="center"/>
          </w:tcPr>
          <w:p>
            <w:pPr>
              <w:spacing w:after="160" w:line="440" w:lineRule="exact"/>
              <w:jc w:val="center"/>
              <w:rPr>
                <w:rFonts w:ascii="宋体" w:hAnsi="宋体"/>
                <w:color w:val="auto"/>
              </w:rPr>
            </w:pPr>
          </w:p>
        </w:tc>
        <w:tc>
          <w:tcPr>
            <w:tcW w:w="1249" w:type="dxa"/>
            <w:vAlign w:val="center"/>
          </w:tcPr>
          <w:p>
            <w:pPr>
              <w:spacing w:after="160" w:line="440" w:lineRule="exact"/>
              <w:jc w:val="center"/>
              <w:rPr>
                <w:rFonts w:ascii="宋体" w:hAnsi="宋体"/>
                <w:color w:val="auto"/>
              </w:rPr>
            </w:pPr>
          </w:p>
        </w:tc>
        <w:tc>
          <w:tcPr>
            <w:tcW w:w="832" w:type="dxa"/>
            <w:vAlign w:val="center"/>
          </w:tcPr>
          <w:p>
            <w:pPr>
              <w:spacing w:after="160" w:line="440" w:lineRule="exact"/>
              <w:jc w:val="center"/>
              <w:rPr>
                <w:rFonts w:ascii="宋体" w:hAnsi="宋体"/>
                <w:color w:val="auto"/>
              </w:rPr>
            </w:pPr>
          </w:p>
        </w:tc>
        <w:tc>
          <w:tcPr>
            <w:tcW w:w="834" w:type="dxa"/>
            <w:vAlign w:val="center"/>
          </w:tcPr>
          <w:p>
            <w:pPr>
              <w:spacing w:after="160" w:line="440" w:lineRule="exact"/>
              <w:jc w:val="center"/>
              <w:rPr>
                <w:rFonts w:ascii="宋体" w:hAnsi="宋体"/>
                <w:color w:val="auto"/>
              </w:rPr>
            </w:pPr>
          </w:p>
        </w:tc>
        <w:tc>
          <w:tcPr>
            <w:tcW w:w="832" w:type="dxa"/>
            <w:vAlign w:val="center"/>
          </w:tcPr>
          <w:p>
            <w:pPr>
              <w:spacing w:after="160" w:line="440" w:lineRule="exact"/>
              <w:jc w:val="center"/>
              <w:rPr>
                <w:rFonts w:ascii="宋体" w:hAnsi="宋体"/>
                <w:color w:val="auto"/>
              </w:rPr>
            </w:pPr>
          </w:p>
        </w:tc>
        <w:tc>
          <w:tcPr>
            <w:tcW w:w="2027" w:type="dxa"/>
            <w:vAlign w:val="center"/>
          </w:tcPr>
          <w:p>
            <w:pPr>
              <w:spacing w:after="160" w:line="440" w:lineRule="exact"/>
              <w:jc w:val="center"/>
              <w:rPr>
                <w:rFonts w:ascii="宋体" w:hAnsi="宋体"/>
                <w:color w:val="auto"/>
              </w:rPr>
            </w:pPr>
          </w:p>
        </w:tc>
        <w:tc>
          <w:tcPr>
            <w:tcW w:w="776" w:type="dxa"/>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1249"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834" w:type="dxa"/>
          </w:tcPr>
          <w:p>
            <w:pPr>
              <w:spacing w:after="160" w:line="440" w:lineRule="exact"/>
              <w:jc w:val="center"/>
              <w:rPr>
                <w:rFonts w:ascii="宋体" w:hAnsi="宋体"/>
                <w:color w:val="auto"/>
              </w:rPr>
            </w:pPr>
          </w:p>
        </w:tc>
        <w:tc>
          <w:tcPr>
            <w:tcW w:w="832" w:type="dxa"/>
          </w:tcPr>
          <w:p>
            <w:pPr>
              <w:spacing w:after="160" w:line="440" w:lineRule="exact"/>
              <w:jc w:val="center"/>
              <w:rPr>
                <w:rFonts w:ascii="宋体" w:hAnsi="宋体"/>
                <w:color w:val="auto"/>
              </w:rPr>
            </w:pPr>
          </w:p>
        </w:tc>
        <w:tc>
          <w:tcPr>
            <w:tcW w:w="2027" w:type="dxa"/>
          </w:tcPr>
          <w:p>
            <w:pPr>
              <w:spacing w:after="160" w:line="440" w:lineRule="exact"/>
              <w:jc w:val="center"/>
              <w:rPr>
                <w:rFonts w:ascii="宋体" w:hAnsi="宋体"/>
                <w:color w:val="auto"/>
              </w:rPr>
            </w:pPr>
          </w:p>
        </w:tc>
        <w:tc>
          <w:tcPr>
            <w:tcW w:w="776" w:type="dxa"/>
          </w:tcPr>
          <w:p>
            <w:pPr>
              <w:spacing w:after="160" w:line="440" w:lineRule="exact"/>
              <w:jc w:val="center"/>
              <w:rPr>
                <w:rFonts w:ascii="宋体" w:hAnsi="宋体"/>
                <w:color w:val="auto"/>
              </w:rPr>
            </w:pPr>
          </w:p>
        </w:tc>
      </w:tr>
    </w:tbl>
    <w:p>
      <w:pPr>
        <w:spacing w:after="160" w:line="440" w:lineRule="exact"/>
        <w:ind w:left="210"/>
        <w:jc w:val="center"/>
        <w:rPr>
          <w:rFonts w:ascii="宋体" w:hAnsi="宋体"/>
          <w:color w:val="auto"/>
          <w:sz w:val="20"/>
        </w:rPr>
      </w:pPr>
    </w:p>
    <w:p>
      <w:pPr>
        <w:spacing w:after="160" w:line="440" w:lineRule="exact"/>
        <w:rPr>
          <w:rFonts w:ascii="宋体" w:hAnsi="宋体"/>
          <w:color w:val="auto"/>
          <w:sz w:val="20"/>
        </w:rPr>
      </w:pPr>
    </w:p>
    <w:p>
      <w:pPr>
        <w:pStyle w:val="130"/>
        <w:spacing w:after="120"/>
        <w:rPr>
          <w:color w:val="auto"/>
          <w:sz w:val="21"/>
          <w:szCs w:val="21"/>
        </w:rPr>
      </w:pPr>
      <w:bookmarkStart w:id="1171" w:name="_Toc152045805"/>
      <w:bookmarkStart w:id="1172" w:name="_Toc179632825"/>
      <w:bookmarkStart w:id="1173" w:name="_Toc8663"/>
      <w:bookmarkStart w:id="1174" w:name="_Toc152042594"/>
      <w:bookmarkStart w:id="1175" w:name="_Toc464137956"/>
      <w:bookmarkStart w:id="1176" w:name="_Toc144974873"/>
      <w:r>
        <w:rPr>
          <w:color w:val="auto"/>
          <w:sz w:val="21"/>
          <w:szCs w:val="21"/>
        </w:rPr>
        <w:t>（二）主要人员简历表</w:t>
      </w:r>
      <w:bookmarkEnd w:id="1171"/>
      <w:bookmarkEnd w:id="1172"/>
      <w:bookmarkEnd w:id="1173"/>
      <w:bookmarkEnd w:id="1174"/>
      <w:bookmarkEnd w:id="1175"/>
      <w:bookmarkEnd w:id="1176"/>
    </w:p>
    <w:p>
      <w:pPr>
        <w:spacing w:after="160" w:line="400" w:lineRule="exact"/>
        <w:ind w:firstLine="420"/>
        <w:rPr>
          <w:rFonts w:ascii="宋体" w:hAnsi="宋体"/>
          <w:color w:val="auto"/>
        </w:rPr>
      </w:pPr>
      <w:r>
        <w:rPr>
          <w:rFonts w:ascii="宋体" w:hAnsi="宋体"/>
          <w:color w:val="auto"/>
        </w:rPr>
        <w:t>“主要人员简历表”中的项目经理应附</w:t>
      </w:r>
      <w:r>
        <w:rPr>
          <w:rFonts w:hint="eastAsia" w:ascii="宋体" w:hAnsi="宋体"/>
          <w:color w:val="auto"/>
          <w:lang w:eastAsia="zh-CN"/>
        </w:rPr>
        <w:t>相关证书扫描件，</w:t>
      </w:r>
      <w:r>
        <w:rPr>
          <w:rFonts w:ascii="宋体" w:hAnsi="宋体"/>
          <w:color w:val="auto"/>
        </w:rPr>
        <w:t>其他主要人员应附职称证（执业证或上岗证书）、身份证</w:t>
      </w:r>
      <w:r>
        <w:rPr>
          <w:rFonts w:hint="eastAsia" w:ascii="宋体" w:hAnsi="宋体"/>
          <w:color w:val="auto"/>
        </w:rPr>
        <w:t>扫描</w:t>
      </w:r>
      <w:r>
        <w:rPr>
          <w:rFonts w:ascii="宋体" w:hAnsi="宋体"/>
          <w:color w:val="auto"/>
        </w:rPr>
        <w:t>件。</w:t>
      </w:r>
    </w:p>
    <w:tbl>
      <w:tblPr>
        <w:tblStyle w:val="5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6" w:type="dxa"/>
            <w:vAlign w:val="center"/>
          </w:tcPr>
          <w:p>
            <w:pPr>
              <w:spacing w:after="160" w:line="440" w:lineRule="exact"/>
              <w:rPr>
                <w:rFonts w:ascii="宋体" w:hAnsi="宋体"/>
                <w:color w:val="auto"/>
              </w:rPr>
            </w:pPr>
            <w:r>
              <w:rPr>
                <w:rFonts w:ascii="宋体" w:hAnsi="宋体"/>
                <w:color w:val="auto"/>
              </w:rPr>
              <w:t>姓  名</w:t>
            </w:r>
          </w:p>
        </w:tc>
        <w:tc>
          <w:tcPr>
            <w:tcW w:w="1079" w:type="dxa"/>
            <w:gridSpan w:val="2"/>
            <w:vAlign w:val="center"/>
          </w:tcPr>
          <w:p>
            <w:pPr>
              <w:spacing w:after="160" w:line="440" w:lineRule="exact"/>
              <w:rPr>
                <w:rFonts w:ascii="宋体" w:hAnsi="宋体"/>
                <w:color w:val="auto"/>
              </w:rPr>
            </w:pPr>
          </w:p>
        </w:tc>
        <w:tc>
          <w:tcPr>
            <w:tcW w:w="927" w:type="dxa"/>
            <w:vAlign w:val="center"/>
          </w:tcPr>
          <w:p>
            <w:pPr>
              <w:spacing w:after="160" w:line="440" w:lineRule="exact"/>
              <w:rPr>
                <w:rFonts w:ascii="宋体" w:hAnsi="宋体"/>
                <w:color w:val="auto"/>
              </w:rPr>
            </w:pPr>
            <w:r>
              <w:rPr>
                <w:rFonts w:ascii="宋体" w:hAnsi="宋体"/>
                <w:color w:val="auto"/>
              </w:rPr>
              <w:t>年 龄</w:t>
            </w:r>
          </w:p>
        </w:tc>
        <w:tc>
          <w:tcPr>
            <w:tcW w:w="1065" w:type="dxa"/>
            <w:vAlign w:val="center"/>
          </w:tcPr>
          <w:p>
            <w:pPr>
              <w:spacing w:after="160" w:line="440" w:lineRule="exact"/>
              <w:rPr>
                <w:rFonts w:ascii="宋体" w:hAnsi="宋体"/>
                <w:color w:val="auto"/>
              </w:rPr>
            </w:pPr>
          </w:p>
        </w:tc>
        <w:tc>
          <w:tcPr>
            <w:tcW w:w="2130" w:type="dxa"/>
            <w:gridSpan w:val="3"/>
            <w:vAlign w:val="center"/>
          </w:tcPr>
          <w:p>
            <w:pPr>
              <w:spacing w:after="160" w:line="440" w:lineRule="exact"/>
              <w:rPr>
                <w:rFonts w:ascii="宋体" w:hAnsi="宋体"/>
                <w:color w:val="auto"/>
              </w:rPr>
            </w:pPr>
            <w:r>
              <w:rPr>
                <w:rFonts w:ascii="宋体" w:hAnsi="宋体"/>
                <w:color w:val="auto"/>
              </w:rPr>
              <w:t>学历</w:t>
            </w:r>
          </w:p>
        </w:tc>
        <w:tc>
          <w:tcPr>
            <w:tcW w:w="2135" w:type="dxa"/>
            <w:vAlign w:val="center"/>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6" w:type="dxa"/>
            <w:vAlign w:val="center"/>
          </w:tcPr>
          <w:p>
            <w:pPr>
              <w:spacing w:after="160" w:line="440" w:lineRule="exact"/>
              <w:rPr>
                <w:rFonts w:ascii="宋体" w:hAnsi="宋体"/>
                <w:color w:val="auto"/>
              </w:rPr>
            </w:pPr>
            <w:r>
              <w:rPr>
                <w:rFonts w:ascii="宋体" w:hAnsi="宋体"/>
                <w:color w:val="auto"/>
              </w:rPr>
              <w:t>职  称</w:t>
            </w:r>
          </w:p>
        </w:tc>
        <w:tc>
          <w:tcPr>
            <w:tcW w:w="1079" w:type="dxa"/>
            <w:gridSpan w:val="2"/>
            <w:vAlign w:val="center"/>
          </w:tcPr>
          <w:p>
            <w:pPr>
              <w:spacing w:after="160" w:line="440" w:lineRule="exact"/>
              <w:rPr>
                <w:rFonts w:ascii="宋体" w:hAnsi="宋体"/>
                <w:color w:val="auto"/>
              </w:rPr>
            </w:pPr>
          </w:p>
        </w:tc>
        <w:tc>
          <w:tcPr>
            <w:tcW w:w="927" w:type="dxa"/>
            <w:vAlign w:val="center"/>
          </w:tcPr>
          <w:p>
            <w:pPr>
              <w:spacing w:after="160" w:line="440" w:lineRule="exact"/>
              <w:rPr>
                <w:rFonts w:ascii="宋体" w:hAnsi="宋体"/>
                <w:color w:val="auto"/>
              </w:rPr>
            </w:pPr>
            <w:r>
              <w:rPr>
                <w:rFonts w:ascii="宋体" w:hAnsi="宋体"/>
                <w:color w:val="auto"/>
              </w:rPr>
              <w:t>职 务</w:t>
            </w:r>
          </w:p>
        </w:tc>
        <w:tc>
          <w:tcPr>
            <w:tcW w:w="1065" w:type="dxa"/>
            <w:vAlign w:val="center"/>
          </w:tcPr>
          <w:p>
            <w:pPr>
              <w:spacing w:after="160" w:line="440" w:lineRule="exact"/>
              <w:rPr>
                <w:rFonts w:ascii="宋体" w:hAnsi="宋体"/>
                <w:color w:val="auto"/>
              </w:rPr>
            </w:pPr>
          </w:p>
        </w:tc>
        <w:tc>
          <w:tcPr>
            <w:tcW w:w="2130" w:type="dxa"/>
            <w:gridSpan w:val="3"/>
            <w:vAlign w:val="center"/>
          </w:tcPr>
          <w:p>
            <w:pPr>
              <w:spacing w:after="160" w:line="440" w:lineRule="exact"/>
              <w:rPr>
                <w:rFonts w:ascii="宋体" w:hAnsi="宋体"/>
                <w:color w:val="auto"/>
              </w:rPr>
            </w:pPr>
            <w:r>
              <w:rPr>
                <w:rFonts w:ascii="宋体" w:hAnsi="宋体"/>
                <w:color w:val="auto"/>
              </w:rPr>
              <w:t>拟在本合同任职</w:t>
            </w:r>
          </w:p>
        </w:tc>
        <w:tc>
          <w:tcPr>
            <w:tcW w:w="2135" w:type="dxa"/>
            <w:vAlign w:val="center"/>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6" w:type="dxa"/>
            <w:vAlign w:val="center"/>
          </w:tcPr>
          <w:p>
            <w:pPr>
              <w:spacing w:after="160" w:line="440" w:lineRule="exact"/>
              <w:rPr>
                <w:rFonts w:ascii="宋体" w:hAnsi="宋体"/>
                <w:color w:val="auto"/>
              </w:rPr>
            </w:pPr>
            <w:r>
              <w:rPr>
                <w:rFonts w:ascii="宋体" w:hAnsi="宋体"/>
                <w:color w:val="auto"/>
              </w:rPr>
              <w:t>毕业学校</w:t>
            </w:r>
          </w:p>
        </w:tc>
        <w:tc>
          <w:tcPr>
            <w:tcW w:w="7336" w:type="dxa"/>
            <w:gridSpan w:val="8"/>
          </w:tcPr>
          <w:p>
            <w:pPr>
              <w:spacing w:after="160" w:line="440" w:lineRule="exact"/>
              <w:rPr>
                <w:rFonts w:ascii="宋体" w:hAnsi="宋体"/>
                <w:color w:val="auto"/>
              </w:rPr>
            </w:pPr>
            <w:r>
              <w:rPr>
                <w:rFonts w:ascii="宋体" w:hAnsi="宋体"/>
                <w:color w:val="auto"/>
              </w:rPr>
              <w:t xml:space="preserve">      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9"/>
            <w:vAlign w:val="center"/>
          </w:tcPr>
          <w:p>
            <w:pPr>
              <w:spacing w:after="160" w:line="440" w:lineRule="exact"/>
              <w:rPr>
                <w:rFonts w:ascii="宋体" w:hAnsi="宋体"/>
                <w:color w:val="auto"/>
              </w:rPr>
            </w:pPr>
            <w:r>
              <w:rPr>
                <w:rFonts w:ascii="宋体" w:hAnsi="宋体"/>
                <w:color w:val="auto"/>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after="160" w:line="440" w:lineRule="exact"/>
              <w:rPr>
                <w:rFonts w:ascii="宋体" w:hAnsi="宋体"/>
                <w:color w:val="auto"/>
              </w:rPr>
            </w:pPr>
            <w:r>
              <w:rPr>
                <w:rFonts w:ascii="宋体" w:hAnsi="宋体"/>
                <w:color w:val="auto"/>
              </w:rPr>
              <w:t>时  间</w:t>
            </w:r>
          </w:p>
        </w:tc>
        <w:tc>
          <w:tcPr>
            <w:tcW w:w="3420" w:type="dxa"/>
            <w:gridSpan w:val="4"/>
            <w:vAlign w:val="center"/>
          </w:tcPr>
          <w:p>
            <w:pPr>
              <w:spacing w:after="160" w:line="440" w:lineRule="exact"/>
              <w:rPr>
                <w:rFonts w:ascii="宋体" w:hAnsi="宋体"/>
                <w:color w:val="auto"/>
              </w:rPr>
            </w:pPr>
            <w:r>
              <w:rPr>
                <w:rFonts w:ascii="宋体" w:hAnsi="宋体"/>
                <w:color w:val="auto"/>
              </w:rPr>
              <w:t>参加过的类似项目</w:t>
            </w:r>
          </w:p>
        </w:tc>
        <w:tc>
          <w:tcPr>
            <w:tcW w:w="1261" w:type="dxa"/>
            <w:vAlign w:val="center"/>
          </w:tcPr>
          <w:p>
            <w:pPr>
              <w:spacing w:after="160" w:line="440" w:lineRule="exact"/>
              <w:rPr>
                <w:rFonts w:ascii="宋体" w:hAnsi="宋体"/>
                <w:color w:val="auto"/>
              </w:rPr>
            </w:pPr>
            <w:r>
              <w:rPr>
                <w:rFonts w:ascii="宋体" w:hAnsi="宋体"/>
                <w:color w:val="auto"/>
              </w:rPr>
              <w:t>担任职务</w:t>
            </w:r>
          </w:p>
        </w:tc>
        <w:tc>
          <w:tcPr>
            <w:tcW w:w="2296" w:type="dxa"/>
            <w:gridSpan w:val="2"/>
            <w:vAlign w:val="center"/>
          </w:tcPr>
          <w:p>
            <w:pPr>
              <w:spacing w:after="160" w:line="440" w:lineRule="exact"/>
              <w:rPr>
                <w:rFonts w:ascii="宋体" w:hAnsi="宋体"/>
                <w:color w:val="auto"/>
              </w:rPr>
            </w:pPr>
            <w:r>
              <w:rPr>
                <w:rFonts w:ascii="宋体" w:hAnsi="宋体"/>
                <w:color w:val="auto"/>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tcPr>
          <w:p>
            <w:pPr>
              <w:spacing w:after="160" w:line="440" w:lineRule="exact"/>
              <w:rPr>
                <w:rFonts w:ascii="宋体" w:hAnsi="宋体"/>
                <w:color w:val="auto"/>
              </w:rPr>
            </w:pPr>
          </w:p>
        </w:tc>
        <w:tc>
          <w:tcPr>
            <w:tcW w:w="3420" w:type="dxa"/>
            <w:gridSpan w:val="4"/>
          </w:tcPr>
          <w:p>
            <w:pPr>
              <w:spacing w:after="160" w:line="440" w:lineRule="exact"/>
              <w:rPr>
                <w:rFonts w:ascii="宋体" w:hAnsi="宋体"/>
                <w:color w:val="auto"/>
              </w:rPr>
            </w:pPr>
          </w:p>
        </w:tc>
        <w:tc>
          <w:tcPr>
            <w:tcW w:w="1261" w:type="dxa"/>
          </w:tcPr>
          <w:p>
            <w:pPr>
              <w:spacing w:after="160" w:line="440" w:lineRule="exact"/>
              <w:rPr>
                <w:rFonts w:ascii="宋体" w:hAnsi="宋体"/>
                <w:color w:val="auto"/>
              </w:rPr>
            </w:pPr>
          </w:p>
        </w:tc>
        <w:tc>
          <w:tcPr>
            <w:tcW w:w="2296" w:type="dxa"/>
            <w:gridSpan w:val="2"/>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tcPr>
          <w:p>
            <w:pPr>
              <w:spacing w:after="160" w:line="440" w:lineRule="exact"/>
              <w:rPr>
                <w:rFonts w:ascii="宋体" w:hAnsi="宋体"/>
                <w:color w:val="auto"/>
              </w:rPr>
            </w:pPr>
          </w:p>
        </w:tc>
        <w:tc>
          <w:tcPr>
            <w:tcW w:w="3420" w:type="dxa"/>
            <w:gridSpan w:val="4"/>
          </w:tcPr>
          <w:p>
            <w:pPr>
              <w:spacing w:after="160" w:line="440" w:lineRule="exact"/>
              <w:rPr>
                <w:rFonts w:ascii="宋体" w:hAnsi="宋体"/>
                <w:color w:val="auto"/>
              </w:rPr>
            </w:pPr>
          </w:p>
        </w:tc>
        <w:tc>
          <w:tcPr>
            <w:tcW w:w="1261" w:type="dxa"/>
          </w:tcPr>
          <w:p>
            <w:pPr>
              <w:spacing w:after="160" w:line="440" w:lineRule="exact"/>
              <w:rPr>
                <w:rFonts w:ascii="宋体" w:hAnsi="宋体"/>
                <w:color w:val="auto"/>
              </w:rPr>
            </w:pPr>
          </w:p>
        </w:tc>
        <w:tc>
          <w:tcPr>
            <w:tcW w:w="2296" w:type="dxa"/>
            <w:gridSpan w:val="2"/>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tcPr>
          <w:p>
            <w:pPr>
              <w:spacing w:after="160" w:line="440" w:lineRule="exact"/>
              <w:rPr>
                <w:rFonts w:ascii="宋体" w:hAnsi="宋体"/>
                <w:color w:val="auto"/>
              </w:rPr>
            </w:pPr>
          </w:p>
        </w:tc>
        <w:tc>
          <w:tcPr>
            <w:tcW w:w="3420" w:type="dxa"/>
            <w:gridSpan w:val="4"/>
          </w:tcPr>
          <w:p>
            <w:pPr>
              <w:spacing w:after="160" w:line="440" w:lineRule="exact"/>
              <w:rPr>
                <w:rFonts w:ascii="宋体" w:hAnsi="宋体"/>
                <w:color w:val="auto"/>
              </w:rPr>
            </w:pPr>
          </w:p>
        </w:tc>
        <w:tc>
          <w:tcPr>
            <w:tcW w:w="1261" w:type="dxa"/>
          </w:tcPr>
          <w:p>
            <w:pPr>
              <w:spacing w:after="160" w:line="440" w:lineRule="exact"/>
              <w:rPr>
                <w:rFonts w:ascii="宋体" w:hAnsi="宋体"/>
                <w:color w:val="auto"/>
              </w:rPr>
            </w:pPr>
          </w:p>
        </w:tc>
        <w:tc>
          <w:tcPr>
            <w:tcW w:w="2296" w:type="dxa"/>
            <w:gridSpan w:val="2"/>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after="160" w:line="440" w:lineRule="exact"/>
              <w:rPr>
                <w:rFonts w:ascii="宋体" w:hAnsi="宋体"/>
                <w:color w:val="auto"/>
              </w:rPr>
            </w:pPr>
          </w:p>
        </w:tc>
        <w:tc>
          <w:tcPr>
            <w:tcW w:w="3420" w:type="dxa"/>
            <w:gridSpan w:val="4"/>
            <w:vAlign w:val="center"/>
          </w:tcPr>
          <w:p>
            <w:pPr>
              <w:spacing w:after="160" w:line="440" w:lineRule="exact"/>
              <w:rPr>
                <w:rFonts w:ascii="宋体" w:hAnsi="宋体"/>
                <w:color w:val="auto"/>
              </w:rPr>
            </w:pPr>
          </w:p>
        </w:tc>
        <w:tc>
          <w:tcPr>
            <w:tcW w:w="1261" w:type="dxa"/>
            <w:vAlign w:val="center"/>
          </w:tcPr>
          <w:p>
            <w:pPr>
              <w:spacing w:after="160" w:line="440" w:lineRule="exact"/>
              <w:rPr>
                <w:rFonts w:ascii="宋体" w:hAnsi="宋体"/>
                <w:color w:val="auto"/>
              </w:rPr>
            </w:pPr>
          </w:p>
        </w:tc>
        <w:tc>
          <w:tcPr>
            <w:tcW w:w="2296" w:type="dxa"/>
            <w:gridSpan w:val="2"/>
            <w:vAlign w:val="center"/>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after="160" w:line="440" w:lineRule="exact"/>
              <w:rPr>
                <w:rFonts w:ascii="宋体" w:hAnsi="宋体"/>
                <w:color w:val="auto"/>
              </w:rPr>
            </w:pPr>
          </w:p>
        </w:tc>
        <w:tc>
          <w:tcPr>
            <w:tcW w:w="3420" w:type="dxa"/>
            <w:gridSpan w:val="4"/>
            <w:vAlign w:val="center"/>
          </w:tcPr>
          <w:p>
            <w:pPr>
              <w:spacing w:after="160" w:line="440" w:lineRule="exact"/>
              <w:rPr>
                <w:rFonts w:ascii="宋体" w:hAnsi="宋体"/>
                <w:color w:val="auto"/>
              </w:rPr>
            </w:pPr>
          </w:p>
        </w:tc>
        <w:tc>
          <w:tcPr>
            <w:tcW w:w="1261" w:type="dxa"/>
            <w:vAlign w:val="center"/>
          </w:tcPr>
          <w:p>
            <w:pPr>
              <w:spacing w:after="160" w:line="440" w:lineRule="exact"/>
              <w:rPr>
                <w:rFonts w:ascii="宋体" w:hAnsi="宋体"/>
                <w:color w:val="auto"/>
              </w:rPr>
            </w:pPr>
          </w:p>
        </w:tc>
        <w:tc>
          <w:tcPr>
            <w:tcW w:w="2296" w:type="dxa"/>
            <w:gridSpan w:val="2"/>
            <w:vAlign w:val="center"/>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after="160" w:line="440" w:lineRule="exact"/>
              <w:rPr>
                <w:rFonts w:ascii="宋体" w:hAnsi="宋体"/>
                <w:color w:val="auto"/>
              </w:rPr>
            </w:pPr>
          </w:p>
        </w:tc>
        <w:tc>
          <w:tcPr>
            <w:tcW w:w="3420" w:type="dxa"/>
            <w:gridSpan w:val="4"/>
            <w:vAlign w:val="center"/>
          </w:tcPr>
          <w:p>
            <w:pPr>
              <w:spacing w:after="160" w:line="440" w:lineRule="exact"/>
              <w:rPr>
                <w:rFonts w:ascii="宋体" w:hAnsi="宋体"/>
                <w:color w:val="auto"/>
              </w:rPr>
            </w:pPr>
          </w:p>
        </w:tc>
        <w:tc>
          <w:tcPr>
            <w:tcW w:w="1261" w:type="dxa"/>
            <w:vAlign w:val="center"/>
          </w:tcPr>
          <w:p>
            <w:pPr>
              <w:spacing w:after="160" w:line="440" w:lineRule="exact"/>
              <w:rPr>
                <w:rFonts w:ascii="宋体" w:hAnsi="宋体"/>
                <w:color w:val="auto"/>
              </w:rPr>
            </w:pPr>
          </w:p>
        </w:tc>
        <w:tc>
          <w:tcPr>
            <w:tcW w:w="2296" w:type="dxa"/>
            <w:gridSpan w:val="2"/>
            <w:vAlign w:val="center"/>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after="160" w:line="440" w:lineRule="exact"/>
              <w:rPr>
                <w:rFonts w:ascii="宋体" w:hAnsi="宋体"/>
                <w:color w:val="auto"/>
              </w:rPr>
            </w:pPr>
          </w:p>
        </w:tc>
        <w:tc>
          <w:tcPr>
            <w:tcW w:w="3420" w:type="dxa"/>
            <w:gridSpan w:val="4"/>
            <w:vAlign w:val="center"/>
          </w:tcPr>
          <w:p>
            <w:pPr>
              <w:spacing w:after="160" w:line="440" w:lineRule="exact"/>
              <w:rPr>
                <w:rFonts w:ascii="宋体" w:hAnsi="宋体"/>
                <w:color w:val="auto"/>
              </w:rPr>
            </w:pPr>
          </w:p>
        </w:tc>
        <w:tc>
          <w:tcPr>
            <w:tcW w:w="1261" w:type="dxa"/>
            <w:vAlign w:val="center"/>
          </w:tcPr>
          <w:p>
            <w:pPr>
              <w:spacing w:after="160" w:line="440" w:lineRule="exact"/>
              <w:rPr>
                <w:rFonts w:ascii="宋体" w:hAnsi="宋体"/>
                <w:color w:val="auto"/>
              </w:rPr>
            </w:pPr>
          </w:p>
        </w:tc>
        <w:tc>
          <w:tcPr>
            <w:tcW w:w="2296" w:type="dxa"/>
            <w:gridSpan w:val="2"/>
            <w:vAlign w:val="center"/>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after="160" w:line="440" w:lineRule="exact"/>
              <w:rPr>
                <w:rFonts w:ascii="宋体" w:hAnsi="宋体"/>
                <w:color w:val="auto"/>
              </w:rPr>
            </w:pPr>
          </w:p>
        </w:tc>
        <w:tc>
          <w:tcPr>
            <w:tcW w:w="3420" w:type="dxa"/>
            <w:gridSpan w:val="4"/>
            <w:vAlign w:val="center"/>
          </w:tcPr>
          <w:p>
            <w:pPr>
              <w:spacing w:after="160" w:line="440" w:lineRule="exact"/>
              <w:rPr>
                <w:rFonts w:ascii="宋体" w:hAnsi="宋体"/>
                <w:color w:val="auto"/>
              </w:rPr>
            </w:pPr>
          </w:p>
        </w:tc>
        <w:tc>
          <w:tcPr>
            <w:tcW w:w="1261" w:type="dxa"/>
            <w:vAlign w:val="center"/>
          </w:tcPr>
          <w:p>
            <w:pPr>
              <w:spacing w:after="160" w:line="440" w:lineRule="exact"/>
              <w:rPr>
                <w:rFonts w:ascii="宋体" w:hAnsi="宋体"/>
                <w:color w:val="auto"/>
              </w:rPr>
            </w:pPr>
          </w:p>
        </w:tc>
        <w:tc>
          <w:tcPr>
            <w:tcW w:w="2296" w:type="dxa"/>
            <w:gridSpan w:val="2"/>
            <w:vAlign w:val="center"/>
          </w:tcPr>
          <w:p>
            <w:pPr>
              <w:spacing w:after="160" w:line="440" w:lineRule="exact"/>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after="160" w:line="440" w:lineRule="exact"/>
              <w:rPr>
                <w:rFonts w:ascii="宋体" w:hAnsi="宋体"/>
                <w:color w:val="auto"/>
              </w:rPr>
            </w:pPr>
          </w:p>
        </w:tc>
        <w:tc>
          <w:tcPr>
            <w:tcW w:w="3420" w:type="dxa"/>
            <w:gridSpan w:val="4"/>
            <w:vAlign w:val="center"/>
          </w:tcPr>
          <w:p>
            <w:pPr>
              <w:spacing w:after="160" w:line="440" w:lineRule="exact"/>
              <w:rPr>
                <w:rFonts w:ascii="宋体" w:hAnsi="宋体"/>
                <w:color w:val="auto"/>
              </w:rPr>
            </w:pPr>
          </w:p>
        </w:tc>
        <w:tc>
          <w:tcPr>
            <w:tcW w:w="1261" w:type="dxa"/>
            <w:vAlign w:val="center"/>
          </w:tcPr>
          <w:p>
            <w:pPr>
              <w:spacing w:after="160" w:line="440" w:lineRule="exact"/>
              <w:rPr>
                <w:rFonts w:ascii="宋体" w:hAnsi="宋体"/>
                <w:color w:val="auto"/>
              </w:rPr>
            </w:pPr>
          </w:p>
        </w:tc>
        <w:tc>
          <w:tcPr>
            <w:tcW w:w="2296" w:type="dxa"/>
            <w:gridSpan w:val="2"/>
            <w:vAlign w:val="center"/>
          </w:tcPr>
          <w:p>
            <w:pPr>
              <w:spacing w:after="160" w:line="440" w:lineRule="exact"/>
              <w:rPr>
                <w:rFonts w:ascii="宋体" w:hAnsi="宋体"/>
                <w:color w:val="auto"/>
              </w:rPr>
            </w:pPr>
          </w:p>
        </w:tc>
      </w:tr>
    </w:tbl>
    <w:p>
      <w:pPr>
        <w:spacing w:after="160" w:line="440" w:lineRule="exact"/>
        <w:rPr>
          <w:rFonts w:ascii="宋体" w:hAnsi="宋体"/>
          <w:color w:val="auto"/>
          <w:sz w:val="27"/>
          <w:szCs w:val="27"/>
        </w:rPr>
      </w:pPr>
      <w:r>
        <w:rPr>
          <w:color w:val="auto"/>
        </w:rPr>
        <w:br w:type="page"/>
      </w:r>
    </w:p>
    <w:p>
      <w:pPr>
        <w:pStyle w:val="146"/>
        <w:spacing w:after="160"/>
        <w:jc w:val="center"/>
        <w:rPr>
          <w:rFonts w:ascii="宋体" w:hAnsi="宋体"/>
          <w:b/>
          <w:color w:val="auto"/>
        </w:rPr>
      </w:pPr>
      <w:bookmarkStart w:id="1177" w:name="_Toc152042596"/>
      <w:bookmarkStart w:id="1178" w:name="_Toc179632827"/>
      <w:bookmarkStart w:id="1179" w:name="_Toc16095"/>
      <w:bookmarkStart w:id="1180" w:name="_Toc16810779"/>
      <w:bookmarkStart w:id="1181" w:name="_Toc21825_WPSOffice_Level1"/>
      <w:bookmarkStart w:id="1182" w:name="_Toc152045807"/>
      <w:bookmarkStart w:id="1183" w:name="_Toc144974875"/>
      <w:r>
        <w:rPr>
          <w:rFonts w:ascii="宋体" w:hAnsi="宋体"/>
          <w:b/>
          <w:color w:val="auto"/>
        </w:rPr>
        <w:t>七、资格审查资料</w:t>
      </w:r>
      <w:bookmarkEnd w:id="1177"/>
      <w:bookmarkEnd w:id="1178"/>
      <w:bookmarkEnd w:id="1179"/>
      <w:bookmarkEnd w:id="1180"/>
      <w:bookmarkEnd w:id="1181"/>
      <w:bookmarkEnd w:id="1182"/>
      <w:bookmarkEnd w:id="1183"/>
    </w:p>
    <w:p>
      <w:pPr>
        <w:pStyle w:val="130"/>
        <w:spacing w:after="120"/>
        <w:rPr>
          <w:color w:val="auto"/>
          <w:sz w:val="21"/>
          <w:szCs w:val="21"/>
        </w:rPr>
      </w:pPr>
      <w:bookmarkStart w:id="1184" w:name="_Toc152045808"/>
      <w:bookmarkStart w:id="1185" w:name="_Toc152042597"/>
      <w:bookmarkStart w:id="1186" w:name="_Toc464137958"/>
      <w:bookmarkStart w:id="1187" w:name="_Toc179632828"/>
      <w:bookmarkStart w:id="1188" w:name="_Toc144974876"/>
      <w:bookmarkStart w:id="1189" w:name="_Toc12634"/>
      <w:r>
        <w:rPr>
          <w:color w:val="auto"/>
          <w:sz w:val="21"/>
          <w:szCs w:val="21"/>
        </w:rPr>
        <w:t>投标人基本情况表</w:t>
      </w:r>
      <w:bookmarkEnd w:id="1184"/>
      <w:bookmarkEnd w:id="1185"/>
      <w:bookmarkEnd w:id="1186"/>
      <w:bookmarkEnd w:id="1187"/>
      <w:bookmarkEnd w:id="1188"/>
      <w:bookmarkEnd w:id="1189"/>
    </w:p>
    <w:tbl>
      <w:tblPr>
        <w:tblStyle w:val="54"/>
        <w:tblW w:w="856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89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860"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电话</w:t>
            </w:r>
          </w:p>
        </w:tc>
        <w:tc>
          <w:tcPr>
            <w:tcW w:w="992"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860"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电话</w:t>
            </w:r>
          </w:p>
        </w:tc>
        <w:tc>
          <w:tcPr>
            <w:tcW w:w="992"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spacing w:after="160" w:line="440" w:lineRule="exact"/>
              <w:ind w:firstLine="105"/>
              <w:jc w:val="center"/>
              <w:rPr>
                <w:rFonts w:ascii="宋体" w:hAnsi="宋体"/>
                <w:color w:val="auto"/>
              </w:rPr>
            </w:pPr>
            <w:r>
              <w:rPr>
                <w:rFonts w:ascii="宋体" w:hAnsi="宋体"/>
                <w:color w:val="auto"/>
              </w:rPr>
              <w:t>员工总人数：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r>
              <w:rPr>
                <w:rFonts w:ascii="宋体" w:hAnsi="宋体"/>
                <w:color w:val="auto"/>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rPr>
                <w:color w:val="auto"/>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7"/>
              <w:spacing w:after="160"/>
              <w:jc w:val="center"/>
              <w:rPr>
                <w:rFonts w:ascii="宋体" w:hAnsi="宋体"/>
                <w:color w:val="auto"/>
                <w:sz w:val="21"/>
                <w:szCs w:val="21"/>
              </w:rPr>
            </w:pPr>
            <w:r>
              <w:rPr>
                <w:rFonts w:ascii="宋体" w:hAnsi="宋体"/>
                <w:color w:val="auto"/>
                <w:sz w:val="21"/>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pacing w:after="160" w:line="440" w:lineRule="exact"/>
              <w:jc w:val="center"/>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spacing w:after="160" w:line="440" w:lineRule="exact"/>
              <w:ind w:firstLine="210"/>
              <w:jc w:val="center"/>
              <w:rPr>
                <w:rFonts w:ascii="宋体" w:hAnsi="宋体"/>
                <w:color w:val="auto"/>
              </w:rPr>
            </w:pPr>
            <w:r>
              <w:rPr>
                <w:rFonts w:ascii="宋体" w:hAnsi="宋体"/>
                <w:color w:val="auto"/>
              </w:rPr>
              <w:t>经营范围</w:t>
            </w:r>
          </w:p>
        </w:tc>
        <w:tc>
          <w:tcPr>
            <w:tcW w:w="6840" w:type="dxa"/>
            <w:gridSpan w:val="9"/>
            <w:tcBorders>
              <w:top w:val="single" w:color="auto" w:sz="4" w:space="0"/>
              <w:left w:val="single" w:color="auto" w:sz="4" w:space="0"/>
              <w:right w:val="single" w:color="auto" w:sz="4" w:space="0"/>
            </w:tcBorders>
            <w:vAlign w:val="center"/>
          </w:tcPr>
          <w:p>
            <w:pPr>
              <w:spacing w:after="160"/>
              <w:rPr>
                <w:rFonts w:ascii="宋体" w:hAnsi="宋体"/>
                <w:color w:val="auto"/>
              </w:rPr>
            </w:pPr>
          </w:p>
          <w:p>
            <w:pPr>
              <w:spacing w:after="160"/>
              <w:rPr>
                <w:rFonts w:ascii="宋体" w:hAnsi="宋体"/>
                <w:color w:val="auto"/>
              </w:rPr>
            </w:pPr>
          </w:p>
          <w:p>
            <w:pPr>
              <w:spacing w:after="160"/>
              <w:rPr>
                <w:rFonts w:ascii="宋体" w:hAnsi="宋体"/>
                <w:color w:val="auto"/>
              </w:rPr>
            </w:pPr>
          </w:p>
          <w:p>
            <w:pPr>
              <w:spacing w:after="160"/>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color w:val="auto"/>
              </w:rPr>
            </w:pPr>
            <w:r>
              <w:rPr>
                <w:rFonts w:ascii="宋体" w:hAnsi="宋体"/>
                <w:color w:val="auto"/>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spacing w:after="160"/>
              <w:rPr>
                <w:rFonts w:ascii="宋体" w:hAnsi="宋体"/>
                <w:color w:val="auto"/>
              </w:rPr>
            </w:pPr>
          </w:p>
        </w:tc>
      </w:tr>
    </w:tbl>
    <w:p>
      <w:pPr>
        <w:spacing w:after="160" w:line="440" w:lineRule="exact"/>
        <w:ind w:firstLine="241" w:firstLineChars="100"/>
        <w:rPr>
          <w:rFonts w:ascii="宋体" w:hAnsi="宋体"/>
          <w:color w:val="auto"/>
          <w:sz w:val="24"/>
          <w:szCs w:val="24"/>
        </w:rPr>
      </w:pPr>
      <w:r>
        <w:rPr>
          <w:rFonts w:hint="eastAsia" w:ascii="宋体" w:hAnsi="宋体"/>
          <w:b/>
          <w:color w:val="auto"/>
          <w:sz w:val="24"/>
          <w:szCs w:val="24"/>
        </w:rPr>
        <w:t>附</w:t>
      </w:r>
      <w:r>
        <w:rPr>
          <w:rFonts w:ascii="宋体" w:hAnsi="宋体"/>
          <w:b/>
          <w:color w:val="auto"/>
          <w:sz w:val="24"/>
          <w:szCs w:val="24"/>
        </w:rPr>
        <w:t>投标人营业执照、资质证书和安全生产许可证（副本）等</w:t>
      </w:r>
      <w:r>
        <w:rPr>
          <w:rFonts w:hint="eastAsia" w:ascii="宋体" w:hAnsi="宋体"/>
          <w:b/>
          <w:color w:val="auto"/>
          <w:sz w:val="24"/>
          <w:szCs w:val="24"/>
        </w:rPr>
        <w:t>扫描</w:t>
      </w:r>
      <w:r>
        <w:rPr>
          <w:rFonts w:ascii="宋体" w:hAnsi="宋体"/>
          <w:b/>
          <w:color w:val="auto"/>
          <w:sz w:val="24"/>
          <w:szCs w:val="24"/>
        </w:rPr>
        <w:t>件</w:t>
      </w:r>
      <w:r>
        <w:rPr>
          <w:rFonts w:hint="eastAsia" w:ascii="宋体" w:hAnsi="宋体"/>
          <w:b/>
          <w:color w:val="auto"/>
          <w:sz w:val="24"/>
          <w:szCs w:val="24"/>
        </w:rPr>
        <w:t>。</w:t>
      </w:r>
    </w:p>
    <w:p>
      <w:pPr>
        <w:spacing w:after="160" w:line="440" w:lineRule="exact"/>
        <w:jc w:val="center"/>
        <w:rPr>
          <w:rFonts w:ascii="宋体" w:hAnsi="宋体"/>
          <w:color w:val="auto"/>
          <w:sz w:val="20"/>
        </w:rPr>
      </w:pPr>
    </w:p>
    <w:p>
      <w:pPr>
        <w:spacing w:after="160" w:line="440" w:lineRule="exact"/>
        <w:jc w:val="center"/>
        <w:rPr>
          <w:rFonts w:ascii="宋体" w:hAnsi="宋体"/>
          <w:color w:val="auto"/>
          <w:sz w:val="20"/>
        </w:rPr>
      </w:pPr>
    </w:p>
    <w:p>
      <w:pPr>
        <w:ind w:right="420"/>
        <w:jc w:val="center"/>
        <w:rPr>
          <w:color w:val="auto"/>
        </w:rPr>
      </w:pPr>
    </w:p>
    <w:p>
      <w:pPr>
        <w:rPr>
          <w:color w:val="auto"/>
        </w:rPr>
      </w:pPr>
    </w:p>
    <w:p>
      <w:pPr>
        <w:pStyle w:val="146"/>
        <w:spacing w:after="160"/>
        <w:jc w:val="center"/>
        <w:rPr>
          <w:rFonts w:ascii="宋体" w:hAnsi="宋体"/>
          <w:b/>
          <w:color w:val="auto"/>
        </w:rPr>
      </w:pPr>
      <w:bookmarkStart w:id="1190" w:name="_Toc16810780"/>
      <w:bookmarkStart w:id="1191" w:name="_Toc30434"/>
      <w:bookmarkStart w:id="1192" w:name="_Toc11345_WPSOffice_Level1"/>
      <w:r>
        <w:rPr>
          <w:rFonts w:ascii="宋体" w:hAnsi="宋体"/>
          <w:b/>
          <w:color w:val="auto"/>
        </w:rPr>
        <w:t>八、服务承诺书</w:t>
      </w:r>
      <w:bookmarkEnd w:id="1190"/>
      <w:bookmarkEnd w:id="1191"/>
      <w:bookmarkEnd w:id="1192"/>
    </w:p>
    <w:p>
      <w:pPr>
        <w:spacing w:after="160"/>
        <w:rPr>
          <w:rFonts w:hAnsi="宋体"/>
          <w:color w:val="auto"/>
        </w:rPr>
      </w:pPr>
    </w:p>
    <w:tbl>
      <w:tblPr>
        <w:tblStyle w:val="54"/>
        <w:tblW w:w="9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7" w:hRule="atLeast"/>
          <w:jc w:val="center"/>
        </w:trPr>
        <w:tc>
          <w:tcPr>
            <w:tcW w:w="9468" w:type="dxa"/>
          </w:tcPr>
          <w:p>
            <w:pPr>
              <w:spacing w:after="160" w:line="360" w:lineRule="auto"/>
              <w:ind w:firstLine="420"/>
              <w:rPr>
                <w:rFonts w:ascii="宋体" w:hAnsi="宋体"/>
                <w:color w:val="auto"/>
              </w:rPr>
            </w:pPr>
          </w:p>
          <w:p>
            <w:pPr>
              <w:spacing w:after="160"/>
              <w:rPr>
                <w:rFonts w:ascii="宋体" w:hAnsi="宋体"/>
                <w:color w:val="auto"/>
                <w:sz w:val="30"/>
                <w:szCs w:val="30"/>
              </w:rPr>
            </w:pPr>
          </w:p>
          <w:p>
            <w:pPr>
              <w:spacing w:after="160"/>
              <w:rPr>
                <w:rFonts w:ascii="宋体" w:hAnsi="宋体"/>
                <w:color w:val="auto"/>
                <w:sz w:val="30"/>
                <w:szCs w:val="30"/>
              </w:rPr>
            </w:pPr>
          </w:p>
          <w:p>
            <w:pPr>
              <w:spacing w:after="160"/>
              <w:rPr>
                <w:rFonts w:ascii="宋体" w:hAnsi="宋体"/>
                <w:color w:val="auto"/>
                <w:sz w:val="30"/>
                <w:szCs w:val="30"/>
              </w:rPr>
            </w:pPr>
          </w:p>
          <w:p>
            <w:pPr>
              <w:spacing w:after="160"/>
              <w:rPr>
                <w:rFonts w:ascii="宋体" w:hAnsi="宋体"/>
                <w:color w:val="auto"/>
                <w:sz w:val="30"/>
                <w:szCs w:val="30"/>
              </w:rPr>
            </w:pPr>
          </w:p>
          <w:p>
            <w:pPr>
              <w:spacing w:after="160"/>
              <w:rPr>
                <w:rFonts w:ascii="宋体" w:hAnsi="宋体"/>
                <w:color w:val="auto"/>
                <w:sz w:val="30"/>
                <w:szCs w:val="30"/>
              </w:rPr>
            </w:pPr>
          </w:p>
          <w:p>
            <w:pPr>
              <w:spacing w:after="160" w:line="360" w:lineRule="auto"/>
              <w:ind w:firstLine="560"/>
              <w:jc w:val="right"/>
              <w:rPr>
                <w:rFonts w:ascii="宋体" w:hAnsi="宋体"/>
                <w:color w:val="auto"/>
              </w:rPr>
            </w:pPr>
            <w:r>
              <w:rPr>
                <w:rFonts w:ascii="宋体" w:hAnsi="宋体"/>
                <w:color w:val="auto"/>
                <w:sz w:val="28"/>
                <w:szCs w:val="28"/>
              </w:rPr>
              <w:t xml:space="preserve">                        </w:t>
            </w:r>
            <w:r>
              <w:rPr>
                <w:rFonts w:ascii="宋体" w:hAnsi="宋体"/>
                <w:color w:val="auto"/>
              </w:rPr>
              <w:t xml:space="preserve">          投标人 </w:t>
            </w:r>
            <w:r>
              <w:rPr>
                <w:rFonts w:ascii="宋体" w:hAnsi="宋体"/>
                <w:color w:val="auto"/>
                <w:u w:val="single"/>
              </w:rPr>
              <w:t xml:space="preserve">      </w:t>
            </w:r>
            <w:r>
              <w:rPr>
                <w:rFonts w:ascii="宋体" w:hAnsi="宋体"/>
                <w:color w:val="auto"/>
              </w:rPr>
              <w:t>（企业电子签章）：</w:t>
            </w:r>
          </w:p>
          <w:p>
            <w:pPr>
              <w:spacing w:after="160" w:line="360" w:lineRule="auto"/>
              <w:jc w:val="right"/>
              <w:rPr>
                <w:rFonts w:ascii="宋体" w:hAnsi="宋体"/>
                <w:color w:val="auto"/>
              </w:rPr>
            </w:pPr>
            <w:r>
              <w:rPr>
                <w:rFonts w:ascii="宋体" w:hAnsi="宋体"/>
                <w:color w:val="auto"/>
              </w:rPr>
              <w:t xml:space="preserve">法定代表人或其委托代理人 </w:t>
            </w:r>
            <w:r>
              <w:rPr>
                <w:rFonts w:ascii="宋体" w:hAnsi="宋体"/>
                <w:color w:val="auto"/>
                <w:u w:val="single"/>
              </w:rPr>
              <w:t xml:space="preserve">       </w:t>
            </w:r>
            <w:r>
              <w:rPr>
                <w:rFonts w:ascii="宋体" w:hAnsi="宋体"/>
                <w:color w:val="auto"/>
              </w:rPr>
              <w:t>（个人电子签章）：</w:t>
            </w:r>
          </w:p>
          <w:p>
            <w:pPr>
              <w:spacing w:after="160" w:line="360" w:lineRule="auto"/>
              <w:ind w:firstLine="420"/>
              <w:jc w:val="right"/>
              <w:rPr>
                <w:rFonts w:ascii="宋体" w:hAnsi="宋体"/>
                <w:color w:val="auto"/>
              </w:rPr>
            </w:pPr>
          </w:p>
          <w:p>
            <w:pPr>
              <w:spacing w:after="160" w:line="360" w:lineRule="auto"/>
              <w:ind w:firstLine="420"/>
              <w:jc w:val="right"/>
              <w:rPr>
                <w:rFonts w:ascii="宋体" w:hAnsi="宋体"/>
                <w:color w:val="auto"/>
              </w:rPr>
            </w:pPr>
          </w:p>
          <w:p>
            <w:pPr>
              <w:spacing w:after="160" w:line="360" w:lineRule="exact"/>
              <w:ind w:firstLine="4095"/>
              <w:jc w:val="right"/>
              <w:rPr>
                <w:rFonts w:ascii="宋体" w:hAnsi="宋体"/>
                <w:color w:val="auto"/>
              </w:rPr>
            </w:pPr>
            <w:r>
              <w:rPr>
                <w:rFonts w:ascii="宋体" w:hAnsi="宋体"/>
                <w:color w:val="auto"/>
                <w:u w:val="single"/>
              </w:rPr>
              <w:t xml:space="preserve">      </w:t>
            </w:r>
            <w:r>
              <w:rPr>
                <w:rFonts w:ascii="宋体" w:hAnsi="宋体"/>
                <w:color w:val="auto"/>
              </w:rPr>
              <w:t xml:space="preserve"> 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pPr>
              <w:spacing w:after="160" w:line="360" w:lineRule="auto"/>
              <w:ind w:firstLine="6195"/>
              <w:jc w:val="right"/>
              <w:rPr>
                <w:rFonts w:ascii="宋体" w:hAnsi="宋体"/>
                <w:color w:val="auto"/>
              </w:rPr>
            </w:pPr>
          </w:p>
          <w:p>
            <w:pPr>
              <w:spacing w:after="160"/>
              <w:rPr>
                <w:rFonts w:ascii="宋体" w:hAnsi="宋体"/>
                <w:color w:val="auto"/>
                <w:sz w:val="30"/>
                <w:szCs w:val="30"/>
              </w:rPr>
            </w:pPr>
          </w:p>
        </w:tc>
      </w:tr>
    </w:tbl>
    <w:p>
      <w:pPr>
        <w:spacing w:after="160"/>
        <w:jc w:val="center"/>
        <w:rPr>
          <w:rFonts w:ascii="宋体" w:hAnsi="宋体"/>
          <w:color w:val="auto"/>
        </w:rPr>
      </w:pPr>
    </w:p>
    <w:p>
      <w:pPr>
        <w:spacing w:after="160"/>
        <w:rPr>
          <w:rFonts w:hAnsi="宋体"/>
          <w:color w:val="auto"/>
        </w:rPr>
      </w:pPr>
    </w:p>
    <w:p>
      <w:pPr>
        <w:spacing w:after="160"/>
        <w:ind w:right="480"/>
        <w:jc w:val="center"/>
        <w:rPr>
          <w:rFonts w:ascii="宋体" w:hAnsi="宋体"/>
          <w:b/>
          <w:color w:val="auto"/>
          <w:sz w:val="28"/>
          <w:szCs w:val="28"/>
        </w:rPr>
      </w:pPr>
      <w:r>
        <w:rPr>
          <w:color w:val="auto"/>
        </w:rPr>
        <w:br w:type="page"/>
      </w:r>
      <w:bookmarkStart w:id="1193" w:name="_Toc152042602"/>
      <w:bookmarkStart w:id="1194" w:name="_Toc179632833"/>
      <w:bookmarkStart w:id="1195" w:name="_Toc16810781"/>
      <w:bookmarkStart w:id="1196" w:name="_Toc152045813"/>
      <w:bookmarkStart w:id="1197" w:name="_Toc144974881"/>
      <w:bookmarkStart w:id="1198" w:name="_Toc10587_WPSOffice_Level1"/>
      <w:bookmarkStart w:id="1199" w:name="_Toc8785"/>
      <w:r>
        <w:rPr>
          <w:rFonts w:hint="eastAsia"/>
          <w:b/>
          <w:color w:val="auto"/>
          <w:sz w:val="28"/>
          <w:szCs w:val="28"/>
        </w:rPr>
        <w:t>九、</w:t>
      </w:r>
      <w:r>
        <w:rPr>
          <w:rFonts w:ascii="宋体" w:hAnsi="宋体"/>
          <w:b/>
          <w:color w:val="auto"/>
          <w:sz w:val="28"/>
          <w:szCs w:val="28"/>
        </w:rPr>
        <w:t>其他材料</w:t>
      </w:r>
      <w:bookmarkEnd w:id="1193"/>
      <w:bookmarkEnd w:id="1194"/>
      <w:bookmarkEnd w:id="1195"/>
      <w:bookmarkEnd w:id="1196"/>
      <w:bookmarkEnd w:id="1197"/>
      <w:bookmarkEnd w:id="1198"/>
      <w:bookmarkEnd w:id="1199"/>
    </w:p>
    <w:p>
      <w:pPr>
        <w:numPr>
          <w:ilvl w:val="0"/>
          <w:numId w:val="6"/>
        </w:numPr>
        <w:spacing w:line="360" w:lineRule="auto"/>
        <w:rPr>
          <w:rFonts w:ascii="宋体" w:hAnsi="宋体" w:cs="宋体"/>
          <w:color w:val="auto"/>
        </w:rPr>
      </w:pPr>
      <w:r>
        <w:rPr>
          <w:rFonts w:hint="eastAsia" w:ascii="宋体" w:hAnsi="宋体" w:cs="宋体"/>
          <w:color w:val="auto"/>
        </w:rPr>
        <w:t>投标人认为的其他材料</w:t>
      </w:r>
    </w:p>
    <w:p>
      <w:pPr>
        <w:numPr>
          <w:ilvl w:val="0"/>
          <w:numId w:val="6"/>
        </w:numPr>
        <w:spacing w:after="160" w:line="360" w:lineRule="auto"/>
        <w:rPr>
          <w:rFonts w:hAnsi="宋体"/>
          <w:color w:val="auto"/>
        </w:rPr>
      </w:pPr>
      <w:r>
        <w:rPr>
          <w:rFonts w:hint="eastAsia" w:ascii="宋体" w:hAnsi="宋体" w:cs="宋体"/>
          <w:color w:val="auto"/>
        </w:rPr>
        <w:t>招标文件要求的其他材料</w:t>
      </w:r>
    </w:p>
    <w:p>
      <w:pPr>
        <w:numPr>
          <w:ilvl w:val="0"/>
          <w:numId w:val="6"/>
        </w:numPr>
        <w:spacing w:after="160" w:line="360" w:lineRule="auto"/>
        <w:rPr>
          <w:rFonts w:hAnsi="宋体"/>
          <w:color w:val="auto"/>
        </w:rPr>
      </w:pPr>
      <w:r>
        <w:rPr>
          <w:rFonts w:hint="eastAsia" w:ascii="宋体" w:hAnsi="宋体" w:cs="宋体"/>
          <w:color w:val="auto"/>
        </w:rPr>
        <w:br w:type="page"/>
      </w:r>
    </w:p>
    <w:p>
      <w:pPr>
        <w:pStyle w:val="9"/>
        <w:jc w:val="center"/>
        <w:rPr>
          <w:rFonts w:hint="eastAsia"/>
          <w:color w:val="auto"/>
        </w:rPr>
      </w:pPr>
      <w:bookmarkStart w:id="1200" w:name="_Toc2559"/>
      <w:bookmarkStart w:id="1201" w:name="_Toc19033"/>
      <w:bookmarkStart w:id="1202" w:name="_Toc18369_WPSOffice_Level1"/>
      <w:r>
        <w:rPr>
          <w:rFonts w:hint="eastAsia"/>
          <w:color w:val="auto"/>
          <w:lang w:eastAsia="zh-CN"/>
        </w:rPr>
        <w:t>附件一：</w:t>
      </w:r>
      <w:r>
        <w:rPr>
          <w:rFonts w:hint="eastAsia"/>
          <w:color w:val="auto"/>
        </w:rPr>
        <w:t>廉政承诺书</w:t>
      </w:r>
      <w:bookmarkEnd w:id="1200"/>
      <w:bookmarkEnd w:id="1201"/>
      <w:r>
        <w:rPr>
          <w:rFonts w:hint="eastAsia" w:ascii="宋体" w:hAnsi="宋体"/>
          <w:color w:val="auto"/>
          <w:szCs w:val="21"/>
        </w:rPr>
        <w:t>（固定格式）</w:t>
      </w:r>
      <w:bookmarkEnd w:id="1202"/>
    </w:p>
    <w:p>
      <w:pPr>
        <w:jc w:val="center"/>
        <w:rPr>
          <w:rFonts w:hint="eastAsia" w:ascii="宋体" w:hAnsi="宋体"/>
          <w:color w:val="auto"/>
          <w:szCs w:val="21"/>
        </w:rPr>
      </w:pPr>
    </w:p>
    <w:p>
      <w:pPr>
        <w:spacing w:line="360" w:lineRule="auto"/>
        <w:ind w:firstLine="440" w:firstLineChars="200"/>
        <w:rPr>
          <w:rFonts w:hint="eastAsia" w:ascii="宋体" w:hAnsi="宋体"/>
          <w:color w:val="auto"/>
          <w:sz w:val="22"/>
          <w:szCs w:val="21"/>
        </w:rPr>
      </w:pPr>
      <w:r>
        <w:rPr>
          <w:rFonts w:hint="eastAsia" w:ascii="宋体" w:hAnsi="宋体"/>
          <w:color w:val="auto"/>
          <w:sz w:val="22"/>
          <w:szCs w:val="21"/>
        </w:rPr>
        <w:t>我单位已认真阅读过《开封市建设工程招标投标廉政责任书》，现参加由</w:t>
      </w:r>
      <w:r>
        <w:rPr>
          <w:rFonts w:hint="eastAsia" w:ascii="宋体" w:hAnsi="宋体"/>
          <w:color w:val="auto"/>
          <w:sz w:val="22"/>
          <w:szCs w:val="21"/>
          <w:u w:val="single"/>
        </w:rPr>
        <w:t xml:space="preserve">              </w:t>
      </w:r>
      <w:r>
        <w:rPr>
          <w:rFonts w:hint="eastAsia" w:ascii="宋体" w:hAnsi="宋体"/>
          <w:color w:val="auto"/>
          <w:sz w:val="22"/>
          <w:szCs w:val="21"/>
        </w:rPr>
        <w:t>（招标人）建设的</w:t>
      </w:r>
      <w:r>
        <w:rPr>
          <w:rFonts w:hint="eastAsia" w:ascii="宋体" w:hAnsi="宋体"/>
          <w:color w:val="auto"/>
          <w:sz w:val="22"/>
          <w:szCs w:val="21"/>
          <w:u w:val="single"/>
        </w:rPr>
        <w:t xml:space="preserve">                      </w:t>
      </w:r>
      <w:r>
        <w:rPr>
          <w:rFonts w:hint="eastAsia" w:ascii="宋体" w:hAnsi="宋体"/>
          <w:color w:val="auto"/>
          <w:sz w:val="22"/>
          <w:szCs w:val="21"/>
        </w:rPr>
        <w:t xml:space="preserve"> （工程名称）</w:t>
      </w:r>
      <w:r>
        <w:rPr>
          <w:rFonts w:hint="eastAsia" w:ascii="宋体" w:hAnsi="宋体"/>
          <w:color w:val="auto"/>
          <w:sz w:val="22"/>
          <w:szCs w:val="21"/>
          <w:u w:val="single"/>
        </w:rPr>
        <w:t xml:space="preserve">     </w:t>
      </w:r>
      <w:r>
        <w:rPr>
          <w:rFonts w:hint="eastAsia" w:ascii="宋体" w:hAnsi="宋体"/>
          <w:color w:val="auto"/>
          <w:sz w:val="22"/>
          <w:szCs w:val="21"/>
        </w:rPr>
        <w:t>标段的投标活动。现承诺，在参加上述项目投标活动过程中，严格履行《开封市建设工程招标投标廉政责任书》中的责任要求。</w:t>
      </w:r>
    </w:p>
    <w:p>
      <w:pPr>
        <w:jc w:val="center"/>
        <w:rPr>
          <w:rFonts w:hint="eastAsia" w:ascii="宋体" w:hAnsi="宋体"/>
          <w:color w:val="auto"/>
          <w:sz w:val="22"/>
          <w:szCs w:val="21"/>
        </w:rPr>
      </w:pPr>
    </w:p>
    <w:p>
      <w:pPr>
        <w:jc w:val="center"/>
        <w:rPr>
          <w:rFonts w:hint="eastAsia" w:ascii="宋体" w:hAnsi="宋体"/>
          <w:color w:val="auto"/>
          <w:sz w:val="22"/>
          <w:szCs w:val="21"/>
        </w:rPr>
      </w:pPr>
    </w:p>
    <w:p>
      <w:pPr>
        <w:jc w:val="center"/>
        <w:rPr>
          <w:rFonts w:hint="eastAsia" w:ascii="宋体" w:hAnsi="宋体"/>
          <w:color w:val="auto"/>
          <w:sz w:val="22"/>
          <w:szCs w:val="21"/>
        </w:rPr>
      </w:pPr>
    </w:p>
    <w:p>
      <w:pPr>
        <w:jc w:val="center"/>
        <w:rPr>
          <w:rFonts w:hint="eastAsia" w:ascii="宋体" w:hAnsi="宋体"/>
          <w:color w:val="auto"/>
          <w:sz w:val="22"/>
          <w:szCs w:val="21"/>
        </w:rPr>
      </w:pPr>
    </w:p>
    <w:p>
      <w:pPr>
        <w:jc w:val="center"/>
        <w:rPr>
          <w:rFonts w:hint="eastAsia" w:ascii="宋体" w:hAnsi="宋体"/>
          <w:color w:val="auto"/>
          <w:sz w:val="22"/>
          <w:szCs w:val="21"/>
        </w:rPr>
      </w:pPr>
    </w:p>
    <w:p>
      <w:pPr>
        <w:jc w:val="both"/>
        <w:rPr>
          <w:rFonts w:hint="eastAsia" w:ascii="宋体" w:hAnsi="宋体"/>
          <w:color w:val="auto"/>
          <w:sz w:val="22"/>
          <w:szCs w:val="21"/>
        </w:rPr>
      </w:pPr>
      <w:r>
        <w:rPr>
          <w:rFonts w:hint="eastAsia" w:ascii="宋体" w:hAnsi="宋体"/>
          <w:color w:val="auto"/>
          <w:sz w:val="22"/>
          <w:szCs w:val="21"/>
        </w:rPr>
        <w:t>*注：各投标人无此承诺书者，按无效投标处理。</w:t>
      </w:r>
    </w:p>
    <w:p>
      <w:pPr>
        <w:jc w:val="both"/>
        <w:rPr>
          <w:rFonts w:hint="eastAsia" w:ascii="宋体" w:hAnsi="宋体"/>
          <w:color w:val="auto"/>
          <w:sz w:val="22"/>
          <w:szCs w:val="21"/>
        </w:rPr>
      </w:pPr>
    </w:p>
    <w:p>
      <w:pPr>
        <w:jc w:val="center"/>
        <w:rPr>
          <w:rFonts w:hint="eastAsia" w:ascii="宋体" w:hAnsi="宋体"/>
          <w:color w:val="auto"/>
          <w:sz w:val="22"/>
          <w:szCs w:val="21"/>
        </w:rPr>
      </w:pPr>
    </w:p>
    <w:p>
      <w:pPr>
        <w:jc w:val="center"/>
        <w:rPr>
          <w:rFonts w:hint="eastAsia" w:ascii="宋体" w:hAnsi="宋体"/>
          <w:color w:val="auto"/>
          <w:sz w:val="22"/>
          <w:szCs w:val="21"/>
        </w:rPr>
      </w:pPr>
    </w:p>
    <w:p>
      <w:pPr>
        <w:wordWrap w:val="0"/>
        <w:jc w:val="right"/>
        <w:rPr>
          <w:rFonts w:hint="eastAsia" w:ascii="宋体" w:hAnsi="宋体"/>
          <w:color w:val="auto"/>
          <w:sz w:val="22"/>
          <w:szCs w:val="21"/>
          <w:u w:val="single"/>
        </w:rPr>
      </w:pPr>
      <w:r>
        <w:rPr>
          <w:rFonts w:hint="eastAsia" w:ascii="宋体" w:hAnsi="宋体"/>
          <w:color w:val="auto"/>
          <w:sz w:val="22"/>
          <w:szCs w:val="21"/>
        </w:rPr>
        <w:t>承诺人：（盖单位章）</w:t>
      </w:r>
      <w:r>
        <w:rPr>
          <w:rFonts w:hint="eastAsia" w:ascii="宋体" w:hAnsi="宋体"/>
          <w:color w:val="auto"/>
          <w:sz w:val="22"/>
          <w:szCs w:val="21"/>
          <w:u w:val="single"/>
        </w:rPr>
        <w:t xml:space="preserve">                 </w:t>
      </w:r>
    </w:p>
    <w:p>
      <w:pPr>
        <w:jc w:val="right"/>
        <w:rPr>
          <w:rFonts w:hint="eastAsia" w:ascii="宋体" w:hAnsi="宋体"/>
          <w:color w:val="auto"/>
          <w:sz w:val="22"/>
          <w:szCs w:val="21"/>
          <w:u w:val="single"/>
        </w:rPr>
      </w:pPr>
    </w:p>
    <w:p>
      <w:pPr>
        <w:wordWrap w:val="0"/>
        <w:jc w:val="right"/>
        <w:rPr>
          <w:rFonts w:hint="eastAsia" w:ascii="宋体" w:hAnsi="宋体"/>
          <w:color w:val="auto"/>
          <w:sz w:val="22"/>
          <w:szCs w:val="21"/>
          <w:u w:val="single"/>
        </w:rPr>
      </w:pPr>
      <w:r>
        <w:rPr>
          <w:rFonts w:hint="eastAsia" w:ascii="宋体" w:hAnsi="宋体"/>
          <w:color w:val="auto"/>
          <w:sz w:val="22"/>
          <w:szCs w:val="21"/>
        </w:rPr>
        <w:t>法定代表人或委托代理人（</w:t>
      </w:r>
      <w:r>
        <w:rPr>
          <w:rFonts w:hint="eastAsia" w:ascii="宋体" w:hAnsi="宋体"/>
          <w:color w:val="auto"/>
          <w:sz w:val="22"/>
          <w:szCs w:val="21"/>
          <w:lang w:eastAsia="zh-CN"/>
        </w:rPr>
        <w:t>个人签章</w:t>
      </w:r>
      <w:r>
        <w:rPr>
          <w:rFonts w:hint="eastAsia" w:ascii="宋体" w:hAnsi="宋体"/>
          <w:color w:val="auto"/>
          <w:sz w:val="22"/>
          <w:szCs w:val="21"/>
        </w:rPr>
        <w:t>）：</w:t>
      </w:r>
      <w:r>
        <w:rPr>
          <w:rFonts w:hint="eastAsia" w:ascii="宋体" w:hAnsi="宋体"/>
          <w:color w:val="auto"/>
          <w:sz w:val="22"/>
          <w:szCs w:val="21"/>
          <w:u w:val="single"/>
        </w:rPr>
        <w:t xml:space="preserve">              </w:t>
      </w:r>
    </w:p>
    <w:p>
      <w:pPr>
        <w:jc w:val="right"/>
        <w:rPr>
          <w:rFonts w:hint="eastAsia" w:ascii="宋体" w:hAnsi="宋体"/>
          <w:color w:val="auto"/>
          <w:sz w:val="22"/>
          <w:szCs w:val="21"/>
        </w:rPr>
      </w:pPr>
    </w:p>
    <w:p>
      <w:pPr>
        <w:wordWrap w:val="0"/>
        <w:jc w:val="right"/>
        <w:rPr>
          <w:rFonts w:hint="eastAsia" w:ascii="宋体" w:hAnsi="宋体"/>
          <w:color w:val="auto"/>
          <w:sz w:val="24"/>
          <w:szCs w:val="21"/>
        </w:rPr>
      </w:pPr>
      <w:r>
        <w:rPr>
          <w:rFonts w:hint="eastAsia" w:ascii="宋体" w:hAnsi="宋体"/>
          <w:color w:val="auto"/>
          <w:sz w:val="22"/>
          <w:szCs w:val="21"/>
          <w:u w:val="single"/>
        </w:rPr>
        <w:t xml:space="preserve">     </w:t>
      </w:r>
      <w:r>
        <w:rPr>
          <w:rFonts w:hint="eastAsia" w:ascii="宋体" w:hAnsi="宋体"/>
          <w:color w:val="auto"/>
          <w:sz w:val="22"/>
          <w:szCs w:val="21"/>
        </w:rPr>
        <w:t>年</w:t>
      </w:r>
      <w:r>
        <w:rPr>
          <w:rFonts w:hint="eastAsia" w:ascii="宋体" w:hAnsi="宋体"/>
          <w:color w:val="auto"/>
          <w:sz w:val="22"/>
          <w:szCs w:val="21"/>
          <w:u w:val="single"/>
        </w:rPr>
        <w:t xml:space="preserve">   </w:t>
      </w:r>
      <w:r>
        <w:rPr>
          <w:rFonts w:hint="eastAsia" w:ascii="宋体" w:hAnsi="宋体"/>
          <w:color w:val="auto"/>
          <w:sz w:val="22"/>
          <w:szCs w:val="21"/>
        </w:rPr>
        <w:t>月</w:t>
      </w:r>
      <w:r>
        <w:rPr>
          <w:rFonts w:hint="eastAsia" w:ascii="宋体" w:hAnsi="宋体"/>
          <w:color w:val="auto"/>
          <w:sz w:val="22"/>
          <w:szCs w:val="21"/>
          <w:u w:val="single"/>
        </w:rPr>
        <w:t xml:space="preserve">   </w:t>
      </w:r>
      <w:r>
        <w:rPr>
          <w:rFonts w:hint="eastAsia" w:ascii="宋体" w:hAnsi="宋体"/>
          <w:color w:val="auto"/>
          <w:sz w:val="22"/>
          <w:szCs w:val="21"/>
        </w:rPr>
        <w:t>日</w:t>
      </w:r>
    </w:p>
    <w:p>
      <w:pPr>
        <w:pStyle w:val="8"/>
        <w:rPr>
          <w:color w:val="auto"/>
        </w:rPr>
      </w:pPr>
      <w:r>
        <w:rPr>
          <w:color w:val="auto"/>
        </w:rPr>
        <w:br w:type="page"/>
      </w:r>
    </w:p>
    <w:p>
      <w:pPr>
        <w:pStyle w:val="9"/>
        <w:jc w:val="center"/>
        <w:rPr>
          <w:rFonts w:hint="eastAsia"/>
          <w:color w:val="auto"/>
        </w:rPr>
      </w:pPr>
      <w:bookmarkStart w:id="1203" w:name="_Toc2138"/>
      <w:bookmarkStart w:id="1204" w:name="_Toc19242"/>
      <w:bookmarkStart w:id="1205" w:name="_Toc6002_WPSOffice_Level1"/>
      <w:r>
        <w:rPr>
          <w:rFonts w:hint="eastAsia"/>
          <w:color w:val="auto"/>
          <w:lang w:eastAsia="zh-CN"/>
        </w:rPr>
        <w:t>附件二：</w:t>
      </w:r>
      <w:r>
        <w:rPr>
          <w:rFonts w:hint="eastAsia"/>
          <w:color w:val="auto"/>
        </w:rPr>
        <w:t>无拖欠农民工工资承诺书</w:t>
      </w:r>
      <w:bookmarkEnd w:id="1203"/>
      <w:bookmarkEnd w:id="1204"/>
      <w:r>
        <w:rPr>
          <w:rFonts w:hint="eastAsia" w:ascii="宋体" w:hAnsi="宋体"/>
          <w:color w:val="auto"/>
          <w:szCs w:val="21"/>
        </w:rPr>
        <w:t>（固定格式）</w:t>
      </w:r>
      <w:bookmarkEnd w:id="1205"/>
    </w:p>
    <w:p>
      <w:pPr>
        <w:adjustRightInd w:val="0"/>
        <w:snapToGrid w:val="0"/>
        <w:spacing w:after="153" w:afterLines="50" w:line="341" w:lineRule="auto"/>
        <w:ind w:firstLine="315" w:firstLineChars="150"/>
        <w:rPr>
          <w:rFonts w:hint="eastAsia" w:ascii="宋体" w:hAnsi="宋体"/>
          <w:color w:val="auto"/>
          <w:szCs w:val="21"/>
        </w:rPr>
      </w:pPr>
      <w:bookmarkStart w:id="1206" w:name="_Toc13070_WPSOffice_Level2"/>
      <w:r>
        <w:rPr>
          <w:rFonts w:hint="eastAsia" w:ascii="宋体" w:hAnsi="宋体"/>
          <w:color w:val="auto"/>
          <w:szCs w:val="21"/>
        </w:rPr>
        <w:t>我单位在此郑重承诺：</w:t>
      </w:r>
      <w:bookmarkEnd w:id="1206"/>
      <w:r>
        <w:rPr>
          <w:rFonts w:hint="eastAsia" w:ascii="宋体" w:hAnsi="宋体"/>
          <w:color w:val="auto"/>
          <w:szCs w:val="21"/>
        </w:rPr>
        <w:t xml:space="preserve"> </w:t>
      </w:r>
    </w:p>
    <w:p>
      <w:pPr>
        <w:numPr>
          <w:ilvl w:val="0"/>
          <w:numId w:val="7"/>
        </w:numPr>
        <w:adjustRightInd w:val="0"/>
        <w:snapToGrid w:val="0"/>
        <w:spacing w:after="153" w:afterLines="50" w:line="341" w:lineRule="auto"/>
        <w:ind w:firstLine="735" w:firstLineChars="350"/>
        <w:rPr>
          <w:rFonts w:hint="eastAsia" w:ascii="宋体" w:hAnsi="宋体"/>
          <w:color w:val="auto"/>
          <w:szCs w:val="21"/>
        </w:rPr>
      </w:pPr>
      <w:r>
        <w:rPr>
          <w:rFonts w:hint="eastAsia" w:ascii="宋体" w:hAnsi="宋体"/>
          <w:color w:val="auto"/>
          <w:szCs w:val="21"/>
        </w:rPr>
        <w:t>开工前与农民工签定劳动合同。</w:t>
      </w:r>
    </w:p>
    <w:p>
      <w:pPr>
        <w:numPr>
          <w:ilvl w:val="0"/>
          <w:numId w:val="7"/>
        </w:numPr>
        <w:adjustRightInd w:val="0"/>
        <w:snapToGrid w:val="0"/>
        <w:spacing w:after="153" w:afterLines="50" w:line="341" w:lineRule="auto"/>
        <w:ind w:firstLine="735" w:firstLineChars="350"/>
        <w:rPr>
          <w:rFonts w:hint="eastAsia" w:ascii="宋体" w:hAnsi="宋体"/>
          <w:color w:val="auto"/>
          <w:szCs w:val="21"/>
        </w:rPr>
      </w:pPr>
      <w:r>
        <w:rPr>
          <w:rFonts w:hint="eastAsia" w:ascii="宋体" w:hAnsi="宋体"/>
          <w:color w:val="auto"/>
          <w:szCs w:val="21"/>
        </w:rPr>
        <w:t>按时支付农民工工资、加班加点工资。</w:t>
      </w:r>
    </w:p>
    <w:p>
      <w:pPr>
        <w:numPr>
          <w:ilvl w:val="0"/>
          <w:numId w:val="7"/>
        </w:numPr>
        <w:adjustRightInd w:val="0"/>
        <w:snapToGrid w:val="0"/>
        <w:spacing w:after="153" w:afterLines="50" w:line="341" w:lineRule="auto"/>
        <w:ind w:firstLine="735" w:firstLineChars="350"/>
        <w:rPr>
          <w:rFonts w:hint="eastAsia" w:ascii="宋体" w:hAnsi="宋体"/>
          <w:color w:val="auto"/>
          <w:szCs w:val="21"/>
        </w:rPr>
      </w:pPr>
      <w:r>
        <w:rPr>
          <w:rFonts w:hint="eastAsia" w:ascii="宋体" w:hAnsi="宋体"/>
          <w:color w:val="auto"/>
          <w:szCs w:val="21"/>
        </w:rPr>
        <w:t>支付农民工工资不低于河南省最低工资标准</w:t>
      </w:r>
      <w:r>
        <w:rPr>
          <w:rFonts w:hint="eastAsia" w:ascii="宋体" w:hAnsi="宋体"/>
          <w:color w:val="auto"/>
          <w:szCs w:val="21"/>
          <w:u w:val="single"/>
        </w:rPr>
        <w:t xml:space="preserve">    </w:t>
      </w:r>
      <w:r>
        <w:rPr>
          <w:rFonts w:hint="eastAsia" w:ascii="宋体" w:hAnsi="宋体"/>
          <w:color w:val="auto"/>
          <w:szCs w:val="21"/>
        </w:rPr>
        <w:t>元。</w:t>
      </w:r>
    </w:p>
    <w:p>
      <w:pPr>
        <w:numPr>
          <w:ilvl w:val="0"/>
          <w:numId w:val="7"/>
        </w:numPr>
        <w:adjustRightInd w:val="0"/>
        <w:snapToGrid w:val="0"/>
        <w:spacing w:after="153" w:afterLines="50" w:line="341" w:lineRule="auto"/>
        <w:ind w:firstLine="735" w:firstLineChars="350"/>
        <w:rPr>
          <w:rFonts w:hint="eastAsia" w:ascii="宋体" w:hAnsi="宋体"/>
          <w:color w:val="auto"/>
          <w:szCs w:val="21"/>
        </w:rPr>
      </w:pPr>
      <w:r>
        <w:rPr>
          <w:rFonts w:hint="eastAsia" w:ascii="宋体" w:hAnsi="宋体"/>
          <w:color w:val="auto"/>
          <w:szCs w:val="21"/>
        </w:rPr>
        <w:t>不无故拖欠、克扣农民工工资。</w:t>
      </w:r>
    </w:p>
    <w:p>
      <w:pPr>
        <w:numPr>
          <w:ilvl w:val="0"/>
          <w:numId w:val="7"/>
        </w:numPr>
        <w:adjustRightInd w:val="0"/>
        <w:snapToGrid w:val="0"/>
        <w:spacing w:after="153" w:afterLines="50" w:line="341" w:lineRule="auto"/>
        <w:ind w:firstLine="735" w:firstLineChars="350"/>
        <w:rPr>
          <w:rFonts w:hint="eastAsia" w:ascii="宋体" w:hAnsi="宋体"/>
          <w:color w:val="auto"/>
          <w:szCs w:val="21"/>
        </w:rPr>
      </w:pPr>
      <w:r>
        <w:rPr>
          <w:rFonts w:hint="eastAsia" w:ascii="宋体" w:hAnsi="宋体"/>
          <w:color w:val="auto"/>
          <w:szCs w:val="21"/>
        </w:rPr>
        <w:t>坚决不侵害农民工劳动报酬的合法权益。</w:t>
      </w:r>
    </w:p>
    <w:p>
      <w:pPr>
        <w:spacing w:line="360" w:lineRule="auto"/>
        <w:ind w:firstLine="630" w:firstLineChars="300"/>
        <w:rPr>
          <w:rFonts w:hint="eastAsia" w:ascii="宋体" w:hAnsi="宋体"/>
          <w:color w:val="auto"/>
          <w:sz w:val="22"/>
          <w:szCs w:val="21"/>
        </w:rPr>
      </w:pPr>
      <w:r>
        <w:rPr>
          <w:rFonts w:hint="eastAsia" w:ascii="宋体" w:hAnsi="宋体"/>
          <w:color w:val="auto"/>
          <w:szCs w:val="21"/>
          <w:lang w:eastAsia="zh-CN"/>
        </w:rPr>
        <w:t>六、</w:t>
      </w:r>
      <w:r>
        <w:rPr>
          <w:rFonts w:hint="eastAsia" w:ascii="宋体" w:hAnsi="宋体"/>
          <w:color w:val="auto"/>
          <w:szCs w:val="21"/>
        </w:rPr>
        <w:t>若有拖欠、克扣农民工工资、加班加点工资及侵害农民工劳动报酬权益的行为，经有关部门查证属实后，自愿从工资保障金中支付，且在一个星期内补足保障金。</w:t>
      </w:r>
    </w:p>
    <w:p>
      <w:pPr>
        <w:spacing w:line="360" w:lineRule="auto"/>
        <w:ind w:firstLine="440" w:firstLineChars="200"/>
        <w:rPr>
          <w:rFonts w:hint="eastAsia" w:ascii="宋体" w:hAnsi="宋体"/>
          <w:color w:val="auto"/>
          <w:sz w:val="22"/>
          <w:szCs w:val="21"/>
        </w:rPr>
      </w:pPr>
    </w:p>
    <w:p>
      <w:pPr>
        <w:spacing w:line="360" w:lineRule="auto"/>
        <w:ind w:firstLine="440" w:firstLineChars="200"/>
        <w:rPr>
          <w:rFonts w:hint="eastAsia" w:ascii="宋体" w:hAnsi="宋体"/>
          <w:color w:val="auto"/>
          <w:sz w:val="22"/>
          <w:szCs w:val="21"/>
        </w:rPr>
      </w:pPr>
    </w:p>
    <w:p>
      <w:pPr>
        <w:spacing w:line="360" w:lineRule="auto"/>
        <w:ind w:firstLine="440" w:firstLineChars="200"/>
        <w:rPr>
          <w:rFonts w:hint="eastAsia" w:ascii="宋体" w:hAnsi="宋体"/>
          <w:color w:val="auto"/>
          <w:sz w:val="22"/>
          <w:szCs w:val="21"/>
        </w:rPr>
      </w:pPr>
      <w:bookmarkStart w:id="1207" w:name="_Toc7223_WPSOffice_Level2"/>
      <w:r>
        <w:rPr>
          <w:rFonts w:hint="eastAsia" w:ascii="宋体" w:hAnsi="宋体"/>
          <w:color w:val="auto"/>
          <w:sz w:val="22"/>
          <w:szCs w:val="21"/>
        </w:rPr>
        <w:t>*注：各投标人无此承诺书者，按无效投标处理。</w:t>
      </w:r>
      <w:bookmarkEnd w:id="1207"/>
    </w:p>
    <w:p>
      <w:pPr>
        <w:spacing w:line="360" w:lineRule="auto"/>
        <w:ind w:firstLine="440" w:firstLineChars="200"/>
        <w:rPr>
          <w:rFonts w:hint="eastAsia" w:ascii="宋体" w:hAnsi="宋体"/>
          <w:color w:val="auto"/>
          <w:sz w:val="22"/>
          <w:szCs w:val="21"/>
        </w:rPr>
      </w:pPr>
    </w:p>
    <w:p>
      <w:pPr>
        <w:spacing w:line="360" w:lineRule="auto"/>
        <w:ind w:firstLine="440" w:firstLineChars="200"/>
        <w:rPr>
          <w:rFonts w:hint="eastAsia" w:ascii="宋体" w:hAnsi="宋体"/>
          <w:color w:val="auto"/>
          <w:sz w:val="22"/>
          <w:szCs w:val="21"/>
        </w:rPr>
      </w:pPr>
    </w:p>
    <w:p>
      <w:pPr>
        <w:jc w:val="center"/>
        <w:rPr>
          <w:rFonts w:hint="eastAsia" w:ascii="宋体" w:hAnsi="宋体"/>
          <w:color w:val="auto"/>
          <w:sz w:val="22"/>
          <w:szCs w:val="21"/>
        </w:rPr>
      </w:pPr>
      <w:r>
        <w:rPr>
          <w:rFonts w:hint="eastAsia" w:ascii="宋体" w:hAnsi="宋体"/>
          <w:color w:val="auto"/>
          <w:sz w:val="22"/>
          <w:szCs w:val="21"/>
        </w:rPr>
        <w:t xml:space="preserve">    </w:t>
      </w:r>
    </w:p>
    <w:p>
      <w:pPr>
        <w:wordWrap w:val="0"/>
        <w:jc w:val="right"/>
        <w:rPr>
          <w:rFonts w:hint="eastAsia" w:ascii="宋体" w:hAnsi="宋体"/>
          <w:color w:val="auto"/>
          <w:sz w:val="22"/>
          <w:szCs w:val="21"/>
        </w:rPr>
      </w:pPr>
      <w:r>
        <w:rPr>
          <w:rFonts w:hint="eastAsia" w:ascii="宋体" w:hAnsi="宋体"/>
          <w:color w:val="auto"/>
          <w:sz w:val="22"/>
          <w:szCs w:val="21"/>
        </w:rPr>
        <w:t>承诺人：（盖单位章）</w:t>
      </w:r>
      <w:r>
        <w:rPr>
          <w:rFonts w:hint="eastAsia" w:ascii="宋体" w:hAnsi="宋体"/>
          <w:color w:val="auto"/>
          <w:sz w:val="22"/>
          <w:szCs w:val="21"/>
          <w:u w:val="single"/>
        </w:rPr>
        <w:t xml:space="preserve">                 </w:t>
      </w:r>
    </w:p>
    <w:p>
      <w:pPr>
        <w:wordWrap w:val="0"/>
        <w:jc w:val="right"/>
        <w:rPr>
          <w:rFonts w:hint="eastAsia" w:ascii="宋体" w:hAnsi="宋体"/>
          <w:color w:val="auto"/>
          <w:sz w:val="22"/>
          <w:szCs w:val="21"/>
        </w:rPr>
      </w:pPr>
    </w:p>
    <w:p>
      <w:pPr>
        <w:wordWrap w:val="0"/>
        <w:jc w:val="right"/>
        <w:rPr>
          <w:rFonts w:hint="eastAsia" w:ascii="宋体" w:hAnsi="宋体"/>
          <w:color w:val="auto"/>
          <w:sz w:val="22"/>
          <w:szCs w:val="21"/>
          <w:u w:val="single"/>
        </w:rPr>
      </w:pPr>
      <w:r>
        <w:rPr>
          <w:rFonts w:hint="eastAsia" w:ascii="宋体" w:hAnsi="宋体"/>
          <w:color w:val="auto"/>
          <w:sz w:val="22"/>
          <w:szCs w:val="21"/>
        </w:rPr>
        <w:t>法定代表人或委托代理人（</w:t>
      </w:r>
      <w:r>
        <w:rPr>
          <w:rFonts w:hint="eastAsia" w:ascii="宋体" w:hAnsi="宋体"/>
          <w:color w:val="auto"/>
          <w:sz w:val="22"/>
          <w:szCs w:val="21"/>
          <w:lang w:eastAsia="zh-CN"/>
        </w:rPr>
        <w:t>个人签章</w:t>
      </w:r>
      <w:r>
        <w:rPr>
          <w:rFonts w:hint="eastAsia" w:ascii="宋体" w:hAnsi="宋体"/>
          <w:color w:val="auto"/>
          <w:sz w:val="22"/>
          <w:szCs w:val="21"/>
        </w:rPr>
        <w:t>）：</w:t>
      </w:r>
      <w:r>
        <w:rPr>
          <w:rFonts w:hint="eastAsia" w:ascii="宋体" w:hAnsi="宋体"/>
          <w:color w:val="auto"/>
          <w:sz w:val="22"/>
          <w:szCs w:val="21"/>
          <w:u w:val="single"/>
        </w:rPr>
        <w:t xml:space="preserve">                 </w:t>
      </w:r>
    </w:p>
    <w:p>
      <w:pPr>
        <w:jc w:val="right"/>
        <w:rPr>
          <w:rFonts w:hint="eastAsia" w:ascii="宋体" w:hAnsi="宋体"/>
          <w:color w:val="auto"/>
          <w:sz w:val="22"/>
          <w:szCs w:val="21"/>
        </w:rPr>
      </w:pPr>
    </w:p>
    <w:p>
      <w:pPr>
        <w:ind w:firstLine="5720" w:firstLineChars="2600"/>
        <w:rPr>
          <w:color w:val="auto"/>
        </w:rPr>
      </w:pPr>
      <w:r>
        <w:rPr>
          <w:rFonts w:hint="eastAsia" w:ascii="宋体" w:hAnsi="宋体"/>
          <w:color w:val="auto"/>
          <w:sz w:val="22"/>
          <w:szCs w:val="21"/>
          <w:u w:val="single"/>
        </w:rPr>
        <w:t xml:space="preserve">     </w:t>
      </w:r>
      <w:r>
        <w:rPr>
          <w:rFonts w:hint="eastAsia" w:ascii="宋体" w:hAnsi="宋体"/>
          <w:color w:val="auto"/>
          <w:sz w:val="22"/>
          <w:szCs w:val="21"/>
        </w:rPr>
        <w:t>年</w:t>
      </w:r>
      <w:r>
        <w:rPr>
          <w:rFonts w:hint="eastAsia" w:ascii="宋体" w:hAnsi="宋体"/>
          <w:color w:val="auto"/>
          <w:sz w:val="22"/>
          <w:szCs w:val="21"/>
          <w:u w:val="single"/>
        </w:rPr>
        <w:t xml:space="preserve">   </w:t>
      </w:r>
      <w:r>
        <w:rPr>
          <w:rFonts w:hint="eastAsia" w:ascii="宋体" w:hAnsi="宋体"/>
          <w:color w:val="auto"/>
          <w:sz w:val="22"/>
          <w:szCs w:val="21"/>
        </w:rPr>
        <w:t>月</w:t>
      </w:r>
      <w:r>
        <w:rPr>
          <w:rFonts w:hint="eastAsia" w:ascii="宋体" w:hAnsi="宋体"/>
          <w:color w:val="auto"/>
          <w:sz w:val="22"/>
          <w:szCs w:val="21"/>
          <w:u w:val="single"/>
        </w:rPr>
        <w:t xml:space="preserve">   </w:t>
      </w:r>
      <w:r>
        <w:rPr>
          <w:rFonts w:hint="eastAsia" w:ascii="宋体" w:hAnsi="宋体"/>
          <w:color w:val="auto"/>
          <w:sz w:val="22"/>
          <w:szCs w:val="21"/>
        </w:rPr>
        <w:t>日</w:t>
      </w:r>
    </w:p>
    <w:p>
      <w:pPr>
        <w:spacing w:after="160"/>
        <w:rPr>
          <w:rFonts w:hAnsi="宋体"/>
          <w:color w:val="auto"/>
        </w:rPr>
      </w:pPr>
      <w:r>
        <w:rPr>
          <w:rFonts w:hAnsi="宋体"/>
          <w:color w:val="auto"/>
        </w:rPr>
        <w:br w:type="page"/>
      </w:r>
    </w:p>
    <w:p>
      <w:pPr>
        <w:pStyle w:val="9"/>
        <w:jc w:val="center"/>
        <w:rPr>
          <w:rFonts w:hint="eastAsia"/>
          <w:color w:val="auto"/>
        </w:rPr>
      </w:pPr>
      <w:bookmarkStart w:id="1208" w:name="_Toc27147"/>
      <w:bookmarkStart w:id="1209" w:name="_Toc5223"/>
      <w:bookmarkStart w:id="1210" w:name="_Toc9572_WPSOffice_Level1"/>
      <w:r>
        <w:rPr>
          <w:rFonts w:hint="eastAsia"/>
          <w:color w:val="auto"/>
          <w:lang w:eastAsia="zh-CN"/>
        </w:rPr>
        <w:t>附件三：</w:t>
      </w:r>
      <w:r>
        <w:rPr>
          <w:rFonts w:hint="eastAsia"/>
          <w:color w:val="auto"/>
        </w:rPr>
        <w:t>无不良行为记录承诺书</w:t>
      </w:r>
      <w:bookmarkEnd w:id="1208"/>
      <w:bookmarkEnd w:id="1209"/>
      <w:r>
        <w:rPr>
          <w:rFonts w:hint="eastAsia" w:ascii="宋体" w:hAnsi="宋体"/>
          <w:color w:val="auto"/>
          <w:szCs w:val="21"/>
        </w:rPr>
        <w:t>（固定格式）</w:t>
      </w:r>
      <w:bookmarkEnd w:id="1210"/>
    </w:p>
    <w:p>
      <w:pPr>
        <w:jc w:val="center"/>
        <w:rPr>
          <w:rFonts w:hint="eastAsia"/>
          <w:b/>
          <w:color w:val="auto"/>
          <w:sz w:val="24"/>
          <w:szCs w:val="22"/>
        </w:rPr>
      </w:pPr>
      <w:r>
        <w:rPr>
          <w:rFonts w:hint="eastAsia"/>
          <w:b/>
          <w:color w:val="auto"/>
          <w:sz w:val="24"/>
          <w:szCs w:val="22"/>
        </w:rPr>
        <w:t>  </w:t>
      </w:r>
    </w:p>
    <w:p>
      <w:pPr>
        <w:spacing w:line="360" w:lineRule="auto"/>
        <w:ind w:firstLine="440" w:firstLineChars="200"/>
        <w:rPr>
          <w:rFonts w:hint="eastAsia" w:ascii="宋体" w:hAnsi="宋体"/>
          <w:color w:val="auto"/>
          <w:sz w:val="22"/>
          <w:szCs w:val="21"/>
        </w:rPr>
      </w:pPr>
      <w:r>
        <w:rPr>
          <w:rFonts w:hint="eastAsia" w:ascii="宋体" w:hAnsi="宋体"/>
          <w:color w:val="auto"/>
          <w:sz w:val="22"/>
          <w:szCs w:val="21"/>
        </w:rPr>
        <w:t>本公司具有履行合同、项目执行能力的保障能力，且公司有义务遵照国家有关法律、法规、规定进行文明施工。无重大质量、安全事故，无重大经济纠纷，无商业贿赂、行政处罚等不良行为记录。现本公司自愿作出以下郑重承诺： </w:t>
      </w:r>
    </w:p>
    <w:p>
      <w:pPr>
        <w:spacing w:line="360" w:lineRule="auto"/>
        <w:ind w:firstLine="440" w:firstLineChars="200"/>
        <w:rPr>
          <w:rFonts w:hint="eastAsia" w:ascii="宋体" w:hAnsi="宋体"/>
          <w:color w:val="auto"/>
          <w:sz w:val="22"/>
          <w:szCs w:val="21"/>
        </w:rPr>
      </w:pPr>
      <w:bookmarkStart w:id="1211" w:name="_Toc19312_WPSOffice_Level1"/>
      <w:r>
        <w:rPr>
          <w:rFonts w:hint="eastAsia" w:ascii="宋体" w:hAnsi="宋体"/>
          <w:color w:val="auto"/>
          <w:sz w:val="22"/>
          <w:szCs w:val="21"/>
        </w:rPr>
        <w:t>一、本公司在河南省地区无不良行为记录。</w:t>
      </w:r>
      <w:bookmarkEnd w:id="1211"/>
    </w:p>
    <w:p>
      <w:pPr>
        <w:spacing w:line="360" w:lineRule="auto"/>
        <w:ind w:firstLine="440" w:firstLineChars="200"/>
        <w:rPr>
          <w:rFonts w:hint="eastAsia" w:ascii="宋体" w:hAnsi="宋体"/>
          <w:color w:val="auto"/>
          <w:sz w:val="22"/>
          <w:szCs w:val="21"/>
        </w:rPr>
      </w:pPr>
      <w:bookmarkStart w:id="1212" w:name="_Toc21720_WPSOffice_Level1"/>
      <w:r>
        <w:rPr>
          <w:rFonts w:hint="eastAsia" w:ascii="宋体" w:hAnsi="宋体"/>
          <w:color w:val="auto"/>
          <w:sz w:val="22"/>
          <w:szCs w:val="21"/>
        </w:rPr>
        <w:t>二、如承诺虚假，本公司愿意承担一切法律后果。     </w:t>
      </w:r>
      <w:bookmarkEnd w:id="1212"/>
    </w:p>
    <w:p>
      <w:pPr>
        <w:spacing w:line="360" w:lineRule="auto"/>
        <w:ind w:firstLine="440" w:firstLineChars="200"/>
        <w:rPr>
          <w:rFonts w:hint="eastAsia" w:ascii="宋体" w:hAnsi="宋体"/>
          <w:color w:val="auto"/>
          <w:sz w:val="22"/>
          <w:szCs w:val="21"/>
        </w:rPr>
      </w:pPr>
    </w:p>
    <w:p>
      <w:pPr>
        <w:spacing w:line="360" w:lineRule="auto"/>
        <w:ind w:firstLine="440" w:firstLineChars="200"/>
        <w:rPr>
          <w:rFonts w:hint="eastAsia" w:ascii="宋体" w:hAnsi="宋体"/>
          <w:color w:val="auto"/>
          <w:sz w:val="22"/>
          <w:szCs w:val="21"/>
        </w:rPr>
      </w:pPr>
    </w:p>
    <w:p>
      <w:pPr>
        <w:adjustRightInd w:val="0"/>
        <w:snapToGrid w:val="0"/>
        <w:spacing w:after="153" w:afterLines="50" w:line="341" w:lineRule="auto"/>
        <w:ind w:firstLine="315" w:firstLineChars="150"/>
        <w:rPr>
          <w:rFonts w:hint="eastAsia" w:ascii="宋体" w:hAnsi="宋体"/>
          <w:color w:val="auto"/>
          <w:szCs w:val="21"/>
        </w:rPr>
      </w:pPr>
      <w:r>
        <w:rPr>
          <w:rFonts w:hint="eastAsia" w:ascii="宋体" w:hAnsi="宋体"/>
          <w:color w:val="auto"/>
          <w:szCs w:val="21"/>
        </w:rPr>
        <w:t>*注：各投标人无此承诺书者，按无效投标处理。</w:t>
      </w:r>
    </w:p>
    <w:p>
      <w:pPr>
        <w:spacing w:line="360" w:lineRule="auto"/>
        <w:ind w:firstLine="440" w:firstLineChars="200"/>
        <w:rPr>
          <w:rFonts w:hint="eastAsia" w:ascii="宋体" w:hAnsi="宋体"/>
          <w:color w:val="auto"/>
          <w:sz w:val="22"/>
          <w:szCs w:val="21"/>
        </w:rPr>
      </w:pPr>
    </w:p>
    <w:p>
      <w:pPr>
        <w:spacing w:line="360" w:lineRule="auto"/>
        <w:ind w:firstLine="440" w:firstLineChars="200"/>
        <w:rPr>
          <w:rFonts w:hint="eastAsia" w:ascii="宋体" w:hAnsi="宋体"/>
          <w:color w:val="auto"/>
          <w:sz w:val="22"/>
          <w:szCs w:val="21"/>
        </w:rPr>
      </w:pPr>
    </w:p>
    <w:p>
      <w:pPr>
        <w:spacing w:line="360" w:lineRule="auto"/>
        <w:ind w:firstLine="440" w:firstLineChars="200"/>
        <w:rPr>
          <w:rFonts w:hint="eastAsia" w:ascii="宋体" w:hAnsi="宋体"/>
          <w:color w:val="auto"/>
          <w:sz w:val="22"/>
          <w:szCs w:val="21"/>
        </w:rPr>
      </w:pPr>
    </w:p>
    <w:p>
      <w:pPr>
        <w:jc w:val="center"/>
        <w:rPr>
          <w:rFonts w:hint="eastAsia" w:ascii="宋体" w:hAnsi="宋体"/>
          <w:color w:val="auto"/>
          <w:sz w:val="22"/>
          <w:szCs w:val="21"/>
        </w:rPr>
      </w:pPr>
    </w:p>
    <w:p>
      <w:pPr>
        <w:wordWrap w:val="0"/>
        <w:jc w:val="right"/>
        <w:rPr>
          <w:rFonts w:hint="eastAsia" w:ascii="宋体" w:hAnsi="宋体"/>
          <w:color w:val="auto"/>
          <w:sz w:val="22"/>
          <w:szCs w:val="21"/>
          <w:u w:val="single"/>
        </w:rPr>
      </w:pPr>
      <w:r>
        <w:rPr>
          <w:rFonts w:hint="eastAsia" w:ascii="宋体" w:hAnsi="宋体"/>
          <w:color w:val="auto"/>
          <w:sz w:val="22"/>
          <w:szCs w:val="21"/>
        </w:rPr>
        <w:t>承诺人：（盖单位章）</w:t>
      </w:r>
      <w:r>
        <w:rPr>
          <w:rFonts w:hint="eastAsia" w:ascii="宋体" w:hAnsi="宋体"/>
          <w:color w:val="auto"/>
          <w:sz w:val="22"/>
          <w:szCs w:val="21"/>
          <w:u w:val="single"/>
        </w:rPr>
        <w:t xml:space="preserve">                 </w:t>
      </w:r>
    </w:p>
    <w:p>
      <w:pPr>
        <w:jc w:val="right"/>
        <w:rPr>
          <w:rFonts w:hint="eastAsia" w:ascii="宋体" w:hAnsi="宋体"/>
          <w:color w:val="auto"/>
          <w:sz w:val="22"/>
          <w:szCs w:val="21"/>
        </w:rPr>
      </w:pPr>
    </w:p>
    <w:p>
      <w:pPr>
        <w:wordWrap w:val="0"/>
        <w:jc w:val="right"/>
        <w:rPr>
          <w:rFonts w:hint="eastAsia" w:ascii="宋体" w:hAnsi="宋体"/>
          <w:color w:val="auto"/>
          <w:sz w:val="22"/>
          <w:szCs w:val="21"/>
          <w:u w:val="single"/>
        </w:rPr>
      </w:pPr>
      <w:r>
        <w:rPr>
          <w:rFonts w:hint="eastAsia" w:ascii="宋体" w:hAnsi="宋体"/>
          <w:color w:val="auto"/>
          <w:sz w:val="22"/>
          <w:szCs w:val="21"/>
        </w:rPr>
        <w:t>法定代表人或委托代理人（</w:t>
      </w:r>
      <w:r>
        <w:rPr>
          <w:rFonts w:hint="eastAsia" w:ascii="宋体" w:hAnsi="宋体"/>
          <w:color w:val="auto"/>
          <w:sz w:val="22"/>
          <w:szCs w:val="21"/>
          <w:lang w:eastAsia="zh-CN"/>
        </w:rPr>
        <w:t>个人签章</w:t>
      </w:r>
      <w:r>
        <w:rPr>
          <w:rFonts w:hint="eastAsia" w:ascii="宋体" w:hAnsi="宋体"/>
          <w:color w:val="auto"/>
          <w:sz w:val="22"/>
          <w:szCs w:val="21"/>
        </w:rPr>
        <w:t>）：</w:t>
      </w:r>
      <w:r>
        <w:rPr>
          <w:rFonts w:hint="eastAsia" w:ascii="宋体" w:hAnsi="宋体"/>
          <w:color w:val="auto"/>
          <w:sz w:val="22"/>
          <w:szCs w:val="21"/>
          <w:u w:val="single"/>
        </w:rPr>
        <w:t xml:space="preserve">              </w:t>
      </w:r>
    </w:p>
    <w:p>
      <w:pPr>
        <w:jc w:val="right"/>
        <w:rPr>
          <w:rFonts w:hint="eastAsia" w:ascii="宋体" w:hAnsi="宋体"/>
          <w:color w:val="auto"/>
          <w:sz w:val="22"/>
          <w:szCs w:val="21"/>
        </w:rPr>
      </w:pPr>
    </w:p>
    <w:p>
      <w:pPr>
        <w:wordWrap w:val="0"/>
        <w:jc w:val="right"/>
        <w:rPr>
          <w:rFonts w:hint="eastAsia" w:ascii="宋体" w:hAnsi="宋体"/>
          <w:color w:val="auto"/>
          <w:sz w:val="22"/>
          <w:szCs w:val="21"/>
        </w:rPr>
      </w:pPr>
      <w:r>
        <w:rPr>
          <w:rFonts w:hint="eastAsia" w:ascii="宋体" w:hAnsi="宋体"/>
          <w:color w:val="auto"/>
          <w:sz w:val="22"/>
          <w:szCs w:val="21"/>
          <w:u w:val="single"/>
        </w:rPr>
        <w:t xml:space="preserve">     </w:t>
      </w:r>
      <w:r>
        <w:rPr>
          <w:rFonts w:hint="eastAsia" w:ascii="宋体" w:hAnsi="宋体"/>
          <w:color w:val="auto"/>
          <w:sz w:val="22"/>
          <w:szCs w:val="21"/>
        </w:rPr>
        <w:t>年</w:t>
      </w:r>
      <w:r>
        <w:rPr>
          <w:rFonts w:hint="eastAsia" w:ascii="宋体" w:hAnsi="宋体"/>
          <w:color w:val="auto"/>
          <w:sz w:val="22"/>
          <w:szCs w:val="21"/>
          <w:u w:val="single"/>
        </w:rPr>
        <w:t xml:space="preserve">   </w:t>
      </w:r>
      <w:r>
        <w:rPr>
          <w:rFonts w:hint="eastAsia" w:ascii="宋体" w:hAnsi="宋体"/>
          <w:color w:val="auto"/>
          <w:sz w:val="22"/>
          <w:szCs w:val="21"/>
        </w:rPr>
        <w:t>月</w:t>
      </w:r>
      <w:r>
        <w:rPr>
          <w:rFonts w:hint="eastAsia" w:ascii="宋体" w:hAnsi="宋体"/>
          <w:color w:val="auto"/>
          <w:sz w:val="22"/>
          <w:szCs w:val="21"/>
          <w:u w:val="single"/>
        </w:rPr>
        <w:t xml:space="preserve">   </w:t>
      </w:r>
      <w:r>
        <w:rPr>
          <w:rFonts w:hint="eastAsia" w:ascii="宋体" w:hAnsi="宋体"/>
          <w:color w:val="auto"/>
          <w:sz w:val="22"/>
          <w:szCs w:val="21"/>
        </w:rPr>
        <w:t>日</w:t>
      </w:r>
    </w:p>
    <w:p>
      <w:pPr>
        <w:pStyle w:val="8"/>
        <w:rPr>
          <w:color w:val="auto"/>
        </w:rPr>
      </w:pPr>
    </w:p>
    <w:p>
      <w:pPr>
        <w:spacing w:after="160"/>
        <w:rPr>
          <w:rFonts w:hAnsi="宋体"/>
          <w:color w:val="auto"/>
        </w:rPr>
      </w:pPr>
    </w:p>
    <w:p>
      <w:pPr>
        <w:spacing w:after="160"/>
        <w:rPr>
          <w:rFonts w:hAnsi="宋体"/>
          <w:color w:val="auto"/>
        </w:rPr>
      </w:pPr>
    </w:p>
    <w:p>
      <w:pPr>
        <w:spacing w:after="160"/>
        <w:rPr>
          <w:rFonts w:hAnsi="宋体"/>
          <w:color w:val="auto"/>
        </w:rPr>
      </w:pPr>
    </w:p>
    <w:p>
      <w:pPr>
        <w:spacing w:after="160"/>
        <w:rPr>
          <w:rFonts w:hAnsi="宋体"/>
          <w:color w:val="auto"/>
        </w:rPr>
      </w:pPr>
    </w:p>
    <w:p>
      <w:pPr>
        <w:spacing w:after="160"/>
        <w:rPr>
          <w:rFonts w:hAnsi="宋体"/>
          <w:color w:val="auto"/>
        </w:rPr>
      </w:pPr>
      <w:r>
        <w:rPr>
          <w:rFonts w:ascii="宋体" w:hAnsi="宋体"/>
          <w:b/>
          <w:color w:val="auto"/>
          <w:sz w:val="28"/>
          <w:szCs w:val="28"/>
        </w:rPr>
        <w:t xml:space="preserve"> </w:t>
      </w:r>
    </w:p>
    <w:p>
      <w:pPr>
        <w:autoSpaceDE w:val="0"/>
        <w:autoSpaceDN w:val="0"/>
        <w:adjustRightInd w:val="0"/>
        <w:spacing w:line="420" w:lineRule="exact"/>
        <w:ind w:firstLine="1619" w:firstLineChars="771"/>
        <w:jc w:val="left"/>
        <w:rPr>
          <w:color w:val="auto"/>
        </w:rPr>
      </w:pPr>
    </w:p>
    <w:p>
      <w:pPr>
        <w:rPr>
          <w:color w:val="auto"/>
        </w:rPr>
      </w:pPr>
    </w:p>
    <w:sectPr>
      <w:footerReference r:id="rId20" w:type="first"/>
      <w:footerReference r:id="rId19" w:type="default"/>
      <w:pgSz w:w="11906" w:h="16838"/>
      <w:pgMar w:top="1134" w:right="1417" w:bottom="1134"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_GBK">
    <w:altName w:val="Times New Roman"/>
    <w:panose1 w:val="00000000000000000000"/>
    <w:charset w:val="00"/>
    <w:family w:val="auto"/>
    <w:pitch w:val="default"/>
    <w:sig w:usb0="00000000" w:usb1="00000000" w:usb2="00000000" w:usb3="00000000" w:csb0="00000001"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420"/>
      <w:jc w:val="right"/>
    </w:pPr>
    <w:r>
      <w:pict>
        <v:shape id="文本框 1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37</w:t>
                </w:r>
                <w:r>
                  <w:rPr>
                    <w:rFonts w:hint="eastAsia"/>
                    <w:sz w:val="18"/>
                  </w:rPr>
                  <w:fldChar w:fldCharType="end"/>
                </w:r>
              </w:p>
            </w:txbxContent>
          </v:textbox>
        </v:shape>
      </w:pict>
    </w:r>
    <w:r>
      <w:pict>
        <v:shape id="文本框 8" o:spid="_x0000_s1025" o:spt="202" type="#_x0000_t202" style="position:absolute;left:0pt;margin-top:0pt;height:144pt;width:144pt;mso-position-horizontal:center;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35"/>
                  <w:ind w:left="420"/>
                  <w:jc w:val="right"/>
                </w:pPr>
              </w:p>
            </w:txbxContent>
          </v:textbox>
        </v:shape>
      </w:pict>
    </w:r>
  </w:p>
  <w:p>
    <w:pPr>
      <w:pStyle w:val="35"/>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840"/>
      <w:jc w:val="right"/>
    </w:pPr>
    <w:r>
      <w:pict>
        <v:shape id="文本框 20" o:spid="_x0000_s103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v:shape>
      </w:pict>
    </w:r>
  </w:p>
  <w:p>
    <w:pPr>
      <w:pStyle w:val="3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420"/>
      <w:jc w:val="right"/>
    </w:pPr>
    <w:r>
      <w:pict>
        <v:shape id="文本框 25" o:spid="_x0000_s1032"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46</w:t>
                </w:r>
                <w:r>
                  <w:rPr>
                    <w:rFonts w:hint="eastAsia"/>
                    <w:sz w:val="18"/>
                  </w:rPr>
                  <w:fldChar w:fldCharType="end"/>
                </w:r>
              </w:p>
            </w:txbxContent>
          </v:textbox>
        </v:shape>
      </w:pict>
    </w:r>
    <w:r>
      <w:pict>
        <v:shape id="_x0000_s1031" o:spid="_x0000_s1031" o:spt="202" type="#_x0000_t202" style="position:absolute;left:0pt;margin-top:0pt;height:10.35pt;width:30.05pt;mso-position-horizontal:center;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35"/>
                  <w:ind w:left="420"/>
                  <w:jc w:val="right"/>
                </w:pPr>
              </w:p>
            </w:txbxContent>
          </v:textbox>
        </v:shape>
      </w:pict>
    </w:r>
  </w:p>
  <w:p>
    <w:pPr>
      <w:pStyle w:val="35"/>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840"/>
      <w:jc w:val="right"/>
    </w:pPr>
    <w:r>
      <w:pict>
        <v:shape id="文本框 26" o:spid="_x0000_s103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v:textbox>
        </v:shape>
      </w:pict>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1</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53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840"/>
      <w:jc w:val="right"/>
    </w:pPr>
  </w:p>
  <w:p>
    <w:pPr>
      <w:pStyle w:val="35"/>
      <w:ind w:left="84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71</w:t>
    </w:r>
    <w:r>
      <w:fldChar w:fldCharType="end"/>
    </w:r>
  </w:p>
  <w:p>
    <w:pPr>
      <w:pStyle w:val="3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840"/>
      <w:jc w:val="right"/>
    </w:pPr>
  </w:p>
  <w:p>
    <w:pPr>
      <w:pStyle w:val="3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840"/>
      <w:jc w:val="right"/>
    </w:pPr>
    <w:r>
      <w:pict>
        <v:shape id="文本框 16" o:spid="_x0000_s1026"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v:textbox>
        </v:shape>
      </w:pict>
    </w:r>
  </w:p>
  <w:p>
    <w:pPr>
      <w:pStyle w:val="35"/>
      <w:ind w:left="84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840"/>
      <w:jc w:val="right"/>
    </w:pPr>
    <w:r>
      <w:pict>
        <v:shape id="文本框 1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v:textbox>
        </v:shape>
      </w:pict>
    </w:r>
  </w:p>
  <w:p>
    <w:pPr>
      <w:pStyle w:val="3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420"/>
      <w:jc w:val="right"/>
    </w:pPr>
    <w:r>
      <w:pict>
        <v:shape id="文本框 1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35</w:t>
                </w:r>
                <w:r>
                  <w:rPr>
                    <w:rFonts w:hint="eastAsia"/>
                    <w:sz w:val="18"/>
                  </w:rPr>
                  <w:fldChar w:fldCharType="end"/>
                </w:r>
              </w:p>
            </w:txbxContent>
          </v:textbox>
        </v:shape>
      </w:pict>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ascii="宋体" w:hAnsi="宋体"/>
        <w:color w:val="000000"/>
      </w:rPr>
      <w:t>河南省开封市尉氏县百邸沟防洪治理工程</w:t>
    </w:r>
    <w:r>
      <w:rPr>
        <w:rFonts w:hint="eastAsia"/>
        <w:szCs w:val="21"/>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480" w:lineRule="auto"/>
      <w:ind w:right="-105" w:rightChars="-50"/>
      <w:jc w:val="left"/>
      <w:rPr>
        <w:rFonts w:ascii="宋体" w:hAnsi="宋体"/>
        <w:w w:val="90"/>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3F3294"/>
    <w:multiLevelType w:val="singleLevel"/>
    <w:tmpl w:val="FA3F3294"/>
    <w:lvl w:ilvl="0" w:tentative="0">
      <w:start w:val="5"/>
      <w:numFmt w:val="chineseCounting"/>
      <w:suff w:val="space"/>
      <w:lvlText w:val="第%1章"/>
      <w:lvlJc w:val="left"/>
      <w:rPr>
        <w:rFonts w:hint="eastAsia"/>
      </w:rPr>
    </w:lvl>
  </w:abstractNum>
  <w:abstractNum w:abstractNumId="1">
    <w:nsid w:val="FDFAE1E5"/>
    <w:multiLevelType w:val="singleLevel"/>
    <w:tmpl w:val="FDFAE1E5"/>
    <w:lvl w:ilvl="0" w:tentative="0">
      <w:start w:val="1"/>
      <w:numFmt w:val="chineseCounting"/>
      <w:suff w:val="nothing"/>
      <w:lvlText w:val="%1、"/>
      <w:lvlJc w:val="left"/>
      <w:rPr>
        <w:rFonts w:hint="eastAsia"/>
      </w:rPr>
    </w:lvl>
  </w:abstractNum>
  <w:abstractNum w:abstractNumId="2">
    <w:nsid w:val="01D25EC8"/>
    <w:multiLevelType w:val="singleLevel"/>
    <w:tmpl w:val="01D25EC8"/>
    <w:lvl w:ilvl="0" w:tentative="0">
      <w:start w:val="2"/>
      <w:numFmt w:val="decimal"/>
      <w:suff w:val="space"/>
      <w:lvlText w:val="%1."/>
      <w:lvlJc w:val="left"/>
    </w:lvl>
  </w:abstractNum>
  <w:abstractNum w:abstractNumId="3">
    <w:nsid w:val="0AFDD804"/>
    <w:multiLevelType w:val="multilevel"/>
    <w:tmpl w:val="0AFDD804"/>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2A14F66"/>
    <w:multiLevelType w:val="multilevel"/>
    <w:tmpl w:val="12A14F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5311E8"/>
    <w:multiLevelType w:val="multilevel"/>
    <w:tmpl w:val="435311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28DEC9"/>
    <w:multiLevelType w:val="singleLevel"/>
    <w:tmpl w:val="4A28DEC9"/>
    <w:lvl w:ilvl="0" w:tentative="0">
      <w:start w:val="5"/>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34D9"/>
    <w:rsid w:val="000146CC"/>
    <w:rsid w:val="00027A68"/>
    <w:rsid w:val="000376C8"/>
    <w:rsid w:val="00044AB1"/>
    <w:rsid w:val="00054A2B"/>
    <w:rsid w:val="00055DED"/>
    <w:rsid w:val="00067506"/>
    <w:rsid w:val="00072C26"/>
    <w:rsid w:val="00082AA0"/>
    <w:rsid w:val="000A551A"/>
    <w:rsid w:val="000B0CCC"/>
    <w:rsid w:val="000B6F80"/>
    <w:rsid w:val="00115D9D"/>
    <w:rsid w:val="0012665A"/>
    <w:rsid w:val="001357FF"/>
    <w:rsid w:val="00136EEA"/>
    <w:rsid w:val="00160D4A"/>
    <w:rsid w:val="00174373"/>
    <w:rsid w:val="00194E44"/>
    <w:rsid w:val="00194EB6"/>
    <w:rsid w:val="001F1612"/>
    <w:rsid w:val="002132D8"/>
    <w:rsid w:val="002134D9"/>
    <w:rsid w:val="0021728D"/>
    <w:rsid w:val="0022350E"/>
    <w:rsid w:val="00224CBE"/>
    <w:rsid w:val="0025467C"/>
    <w:rsid w:val="0025777F"/>
    <w:rsid w:val="002668FF"/>
    <w:rsid w:val="00293A3F"/>
    <w:rsid w:val="002941F9"/>
    <w:rsid w:val="002B5868"/>
    <w:rsid w:val="002E5E8F"/>
    <w:rsid w:val="002E715F"/>
    <w:rsid w:val="003129CA"/>
    <w:rsid w:val="00315AD6"/>
    <w:rsid w:val="00327126"/>
    <w:rsid w:val="00330D47"/>
    <w:rsid w:val="00343DAB"/>
    <w:rsid w:val="0035294F"/>
    <w:rsid w:val="00366BC6"/>
    <w:rsid w:val="00381C60"/>
    <w:rsid w:val="00390C19"/>
    <w:rsid w:val="00391CD0"/>
    <w:rsid w:val="003B3296"/>
    <w:rsid w:val="003C37A4"/>
    <w:rsid w:val="003E348C"/>
    <w:rsid w:val="003E3544"/>
    <w:rsid w:val="00402326"/>
    <w:rsid w:val="00407547"/>
    <w:rsid w:val="004153E8"/>
    <w:rsid w:val="00420E9F"/>
    <w:rsid w:val="00423155"/>
    <w:rsid w:val="004334C2"/>
    <w:rsid w:val="00450E45"/>
    <w:rsid w:val="00451C45"/>
    <w:rsid w:val="004A63F7"/>
    <w:rsid w:val="004D3664"/>
    <w:rsid w:val="004F0922"/>
    <w:rsid w:val="00503640"/>
    <w:rsid w:val="00525680"/>
    <w:rsid w:val="00533414"/>
    <w:rsid w:val="00535DB2"/>
    <w:rsid w:val="00540D04"/>
    <w:rsid w:val="005410B3"/>
    <w:rsid w:val="005414C3"/>
    <w:rsid w:val="00543195"/>
    <w:rsid w:val="00544678"/>
    <w:rsid w:val="00550B9B"/>
    <w:rsid w:val="005A1187"/>
    <w:rsid w:val="005B13A3"/>
    <w:rsid w:val="0064116B"/>
    <w:rsid w:val="006433C7"/>
    <w:rsid w:val="00645690"/>
    <w:rsid w:val="00660A1E"/>
    <w:rsid w:val="006761EF"/>
    <w:rsid w:val="00676AEF"/>
    <w:rsid w:val="00693A7B"/>
    <w:rsid w:val="00693C46"/>
    <w:rsid w:val="006C0FB7"/>
    <w:rsid w:val="006D3864"/>
    <w:rsid w:val="006D5761"/>
    <w:rsid w:val="006E48CF"/>
    <w:rsid w:val="006F7B0A"/>
    <w:rsid w:val="00715B48"/>
    <w:rsid w:val="0076335C"/>
    <w:rsid w:val="00763F83"/>
    <w:rsid w:val="00770FC3"/>
    <w:rsid w:val="0077264C"/>
    <w:rsid w:val="007848CF"/>
    <w:rsid w:val="00793D47"/>
    <w:rsid w:val="007B3B0D"/>
    <w:rsid w:val="007C3E89"/>
    <w:rsid w:val="007F3AC4"/>
    <w:rsid w:val="0082457D"/>
    <w:rsid w:val="0084028D"/>
    <w:rsid w:val="00841D7F"/>
    <w:rsid w:val="00866A8F"/>
    <w:rsid w:val="0088027D"/>
    <w:rsid w:val="008B20F2"/>
    <w:rsid w:val="008C3890"/>
    <w:rsid w:val="008F39CC"/>
    <w:rsid w:val="00901A6E"/>
    <w:rsid w:val="00911E4B"/>
    <w:rsid w:val="009169A5"/>
    <w:rsid w:val="00933C78"/>
    <w:rsid w:val="00935986"/>
    <w:rsid w:val="009A0BBA"/>
    <w:rsid w:val="009A6868"/>
    <w:rsid w:val="009C4007"/>
    <w:rsid w:val="009E24E5"/>
    <w:rsid w:val="009F64BB"/>
    <w:rsid w:val="00A0078E"/>
    <w:rsid w:val="00A521D7"/>
    <w:rsid w:val="00A5396A"/>
    <w:rsid w:val="00A5642E"/>
    <w:rsid w:val="00A7759D"/>
    <w:rsid w:val="00A82445"/>
    <w:rsid w:val="00A843CB"/>
    <w:rsid w:val="00A9775F"/>
    <w:rsid w:val="00AA5C6E"/>
    <w:rsid w:val="00AB5EBA"/>
    <w:rsid w:val="00AB6BD1"/>
    <w:rsid w:val="00AC3B92"/>
    <w:rsid w:val="00AC4FFD"/>
    <w:rsid w:val="00AE2A56"/>
    <w:rsid w:val="00AE7619"/>
    <w:rsid w:val="00B00580"/>
    <w:rsid w:val="00B02E7E"/>
    <w:rsid w:val="00B052B2"/>
    <w:rsid w:val="00B13095"/>
    <w:rsid w:val="00B26CFA"/>
    <w:rsid w:val="00B3247C"/>
    <w:rsid w:val="00B33FDD"/>
    <w:rsid w:val="00B345C5"/>
    <w:rsid w:val="00B44268"/>
    <w:rsid w:val="00B44B2C"/>
    <w:rsid w:val="00B92D39"/>
    <w:rsid w:val="00BA752C"/>
    <w:rsid w:val="00BC23E7"/>
    <w:rsid w:val="00BE3446"/>
    <w:rsid w:val="00C1697D"/>
    <w:rsid w:val="00C27868"/>
    <w:rsid w:val="00C4006D"/>
    <w:rsid w:val="00C4054B"/>
    <w:rsid w:val="00C821B7"/>
    <w:rsid w:val="00C93E87"/>
    <w:rsid w:val="00C9798C"/>
    <w:rsid w:val="00CE3E04"/>
    <w:rsid w:val="00D04414"/>
    <w:rsid w:val="00D30E04"/>
    <w:rsid w:val="00D40557"/>
    <w:rsid w:val="00D41602"/>
    <w:rsid w:val="00D5264B"/>
    <w:rsid w:val="00D83200"/>
    <w:rsid w:val="00D8414F"/>
    <w:rsid w:val="00D92549"/>
    <w:rsid w:val="00DA56D9"/>
    <w:rsid w:val="00DA5B78"/>
    <w:rsid w:val="00DC39CF"/>
    <w:rsid w:val="00DC3EB7"/>
    <w:rsid w:val="00DF6D88"/>
    <w:rsid w:val="00E32C67"/>
    <w:rsid w:val="00E75513"/>
    <w:rsid w:val="00E91D39"/>
    <w:rsid w:val="00EC3617"/>
    <w:rsid w:val="00ED7B1F"/>
    <w:rsid w:val="00F25F96"/>
    <w:rsid w:val="00F42113"/>
    <w:rsid w:val="00F601EC"/>
    <w:rsid w:val="00F647C0"/>
    <w:rsid w:val="00FB0A8C"/>
    <w:rsid w:val="00FB438F"/>
    <w:rsid w:val="00FB651F"/>
    <w:rsid w:val="00FC42CD"/>
    <w:rsid w:val="00FD2A5D"/>
    <w:rsid w:val="012C6F6C"/>
    <w:rsid w:val="0191580D"/>
    <w:rsid w:val="019218D8"/>
    <w:rsid w:val="0197213B"/>
    <w:rsid w:val="01AF38D1"/>
    <w:rsid w:val="01BE23A1"/>
    <w:rsid w:val="01F20EDB"/>
    <w:rsid w:val="01F53FE6"/>
    <w:rsid w:val="02147BAA"/>
    <w:rsid w:val="024C6FB3"/>
    <w:rsid w:val="02767F39"/>
    <w:rsid w:val="027753E6"/>
    <w:rsid w:val="02961A07"/>
    <w:rsid w:val="02A911D4"/>
    <w:rsid w:val="02C22F5C"/>
    <w:rsid w:val="02E33812"/>
    <w:rsid w:val="031C1A39"/>
    <w:rsid w:val="034B57B6"/>
    <w:rsid w:val="03550254"/>
    <w:rsid w:val="03760294"/>
    <w:rsid w:val="03F060FD"/>
    <w:rsid w:val="042010AF"/>
    <w:rsid w:val="044D2A07"/>
    <w:rsid w:val="048932A0"/>
    <w:rsid w:val="04C543A0"/>
    <w:rsid w:val="04D32156"/>
    <w:rsid w:val="04DE57BB"/>
    <w:rsid w:val="04E67DB9"/>
    <w:rsid w:val="0547600C"/>
    <w:rsid w:val="05537EC0"/>
    <w:rsid w:val="05551E8A"/>
    <w:rsid w:val="055B217B"/>
    <w:rsid w:val="057E77C6"/>
    <w:rsid w:val="05B6687B"/>
    <w:rsid w:val="062842C0"/>
    <w:rsid w:val="063B6639"/>
    <w:rsid w:val="068526CB"/>
    <w:rsid w:val="0693468C"/>
    <w:rsid w:val="06970FDD"/>
    <w:rsid w:val="06C04550"/>
    <w:rsid w:val="06F97C7B"/>
    <w:rsid w:val="06FB4A6E"/>
    <w:rsid w:val="0707379B"/>
    <w:rsid w:val="071D1046"/>
    <w:rsid w:val="071F39B3"/>
    <w:rsid w:val="078F5523"/>
    <w:rsid w:val="08405155"/>
    <w:rsid w:val="086B21E6"/>
    <w:rsid w:val="089E4291"/>
    <w:rsid w:val="08DA05B0"/>
    <w:rsid w:val="08EF0EED"/>
    <w:rsid w:val="08F05521"/>
    <w:rsid w:val="090C7276"/>
    <w:rsid w:val="092060F7"/>
    <w:rsid w:val="09612A74"/>
    <w:rsid w:val="0982782E"/>
    <w:rsid w:val="09860E89"/>
    <w:rsid w:val="099158E8"/>
    <w:rsid w:val="09A73F42"/>
    <w:rsid w:val="09B611AC"/>
    <w:rsid w:val="09EE3FC3"/>
    <w:rsid w:val="0A003A76"/>
    <w:rsid w:val="0A131096"/>
    <w:rsid w:val="0A3B5E0B"/>
    <w:rsid w:val="0A440755"/>
    <w:rsid w:val="0A6F7D5D"/>
    <w:rsid w:val="0A79648E"/>
    <w:rsid w:val="0AC1678F"/>
    <w:rsid w:val="0AD54207"/>
    <w:rsid w:val="0B1D2156"/>
    <w:rsid w:val="0B553BA3"/>
    <w:rsid w:val="0B6C2D03"/>
    <w:rsid w:val="0BDF31DC"/>
    <w:rsid w:val="0C0C0F77"/>
    <w:rsid w:val="0C8F4E36"/>
    <w:rsid w:val="0CBB668A"/>
    <w:rsid w:val="0CDB6D52"/>
    <w:rsid w:val="0D91515C"/>
    <w:rsid w:val="0E00628D"/>
    <w:rsid w:val="0E057839"/>
    <w:rsid w:val="0E267AAD"/>
    <w:rsid w:val="0E57356D"/>
    <w:rsid w:val="0E6675AC"/>
    <w:rsid w:val="0EC53F31"/>
    <w:rsid w:val="0ED6402F"/>
    <w:rsid w:val="0EEF0CC9"/>
    <w:rsid w:val="0EFB1FA4"/>
    <w:rsid w:val="0F0951B2"/>
    <w:rsid w:val="0F356782"/>
    <w:rsid w:val="0F880EA0"/>
    <w:rsid w:val="0FDA7532"/>
    <w:rsid w:val="0FE24583"/>
    <w:rsid w:val="0FE61098"/>
    <w:rsid w:val="0FF077AE"/>
    <w:rsid w:val="0FF665EE"/>
    <w:rsid w:val="0FFA6F7E"/>
    <w:rsid w:val="10116F7C"/>
    <w:rsid w:val="106E437E"/>
    <w:rsid w:val="1092362E"/>
    <w:rsid w:val="10AE6D4D"/>
    <w:rsid w:val="10B819D2"/>
    <w:rsid w:val="10D25BC1"/>
    <w:rsid w:val="110C5593"/>
    <w:rsid w:val="11301EE9"/>
    <w:rsid w:val="113F7F07"/>
    <w:rsid w:val="11504DCC"/>
    <w:rsid w:val="115702A5"/>
    <w:rsid w:val="11612230"/>
    <w:rsid w:val="11837BB2"/>
    <w:rsid w:val="11B7387E"/>
    <w:rsid w:val="11BE3B59"/>
    <w:rsid w:val="11BE5304"/>
    <w:rsid w:val="11E65B7B"/>
    <w:rsid w:val="11EA5ABE"/>
    <w:rsid w:val="121011A3"/>
    <w:rsid w:val="121204E7"/>
    <w:rsid w:val="12267C38"/>
    <w:rsid w:val="123C10E3"/>
    <w:rsid w:val="134743DA"/>
    <w:rsid w:val="13A31852"/>
    <w:rsid w:val="142B2415"/>
    <w:rsid w:val="142F303A"/>
    <w:rsid w:val="14317D63"/>
    <w:rsid w:val="145566F2"/>
    <w:rsid w:val="14934CA2"/>
    <w:rsid w:val="149F2C39"/>
    <w:rsid w:val="14DA40CC"/>
    <w:rsid w:val="14EF5D6D"/>
    <w:rsid w:val="151A4F5E"/>
    <w:rsid w:val="153F1CA6"/>
    <w:rsid w:val="153F5209"/>
    <w:rsid w:val="15522BAA"/>
    <w:rsid w:val="15562552"/>
    <w:rsid w:val="15A82DD8"/>
    <w:rsid w:val="15BD22A9"/>
    <w:rsid w:val="16313485"/>
    <w:rsid w:val="16621F62"/>
    <w:rsid w:val="17091EC8"/>
    <w:rsid w:val="17570029"/>
    <w:rsid w:val="17616186"/>
    <w:rsid w:val="17910DD5"/>
    <w:rsid w:val="17E563D5"/>
    <w:rsid w:val="17EE00D2"/>
    <w:rsid w:val="17F376F4"/>
    <w:rsid w:val="180871AD"/>
    <w:rsid w:val="18143D83"/>
    <w:rsid w:val="183215E2"/>
    <w:rsid w:val="183A03D5"/>
    <w:rsid w:val="186354A4"/>
    <w:rsid w:val="186B3FF0"/>
    <w:rsid w:val="186B736A"/>
    <w:rsid w:val="188F247D"/>
    <w:rsid w:val="18D845DB"/>
    <w:rsid w:val="18DD5A17"/>
    <w:rsid w:val="18FD4E8D"/>
    <w:rsid w:val="19101EAE"/>
    <w:rsid w:val="19275DD6"/>
    <w:rsid w:val="192D3D0E"/>
    <w:rsid w:val="194770E5"/>
    <w:rsid w:val="19AC7AB2"/>
    <w:rsid w:val="19C62EB1"/>
    <w:rsid w:val="19D1613B"/>
    <w:rsid w:val="1A155001"/>
    <w:rsid w:val="1A196712"/>
    <w:rsid w:val="1A5E06A9"/>
    <w:rsid w:val="1B1826FB"/>
    <w:rsid w:val="1B2E30CF"/>
    <w:rsid w:val="1B2E4B5A"/>
    <w:rsid w:val="1B675FDE"/>
    <w:rsid w:val="1BD17DFF"/>
    <w:rsid w:val="1BE35C62"/>
    <w:rsid w:val="1C7A4BEB"/>
    <w:rsid w:val="1C831952"/>
    <w:rsid w:val="1CF9609E"/>
    <w:rsid w:val="1D6417A5"/>
    <w:rsid w:val="1D976385"/>
    <w:rsid w:val="1DA77975"/>
    <w:rsid w:val="1DB40114"/>
    <w:rsid w:val="1E2F5B54"/>
    <w:rsid w:val="1E313D17"/>
    <w:rsid w:val="1E594514"/>
    <w:rsid w:val="1E757034"/>
    <w:rsid w:val="1E8D4916"/>
    <w:rsid w:val="1EB67D96"/>
    <w:rsid w:val="1F010614"/>
    <w:rsid w:val="1F133149"/>
    <w:rsid w:val="1F2F2E14"/>
    <w:rsid w:val="1F4562BC"/>
    <w:rsid w:val="1F462798"/>
    <w:rsid w:val="1FA25E85"/>
    <w:rsid w:val="1FAE3492"/>
    <w:rsid w:val="1FF44435"/>
    <w:rsid w:val="1FF64E7B"/>
    <w:rsid w:val="208C144E"/>
    <w:rsid w:val="209A0AB4"/>
    <w:rsid w:val="20B56BB6"/>
    <w:rsid w:val="20CB004E"/>
    <w:rsid w:val="20DA6DC6"/>
    <w:rsid w:val="20E67839"/>
    <w:rsid w:val="211D0B32"/>
    <w:rsid w:val="216D61EA"/>
    <w:rsid w:val="21890D63"/>
    <w:rsid w:val="21CF453D"/>
    <w:rsid w:val="21E0420B"/>
    <w:rsid w:val="220A1720"/>
    <w:rsid w:val="222E792C"/>
    <w:rsid w:val="22755E73"/>
    <w:rsid w:val="228B7593"/>
    <w:rsid w:val="22D30706"/>
    <w:rsid w:val="22DD3810"/>
    <w:rsid w:val="235E15AF"/>
    <w:rsid w:val="2385707C"/>
    <w:rsid w:val="238D3A78"/>
    <w:rsid w:val="23EF0071"/>
    <w:rsid w:val="249350E4"/>
    <w:rsid w:val="24E04F71"/>
    <w:rsid w:val="24EB026C"/>
    <w:rsid w:val="25031E4F"/>
    <w:rsid w:val="250B1565"/>
    <w:rsid w:val="25121C4E"/>
    <w:rsid w:val="25425CE8"/>
    <w:rsid w:val="254A1B14"/>
    <w:rsid w:val="25570FCD"/>
    <w:rsid w:val="2574046F"/>
    <w:rsid w:val="25767FBF"/>
    <w:rsid w:val="258765F7"/>
    <w:rsid w:val="25CB3399"/>
    <w:rsid w:val="25E61654"/>
    <w:rsid w:val="25E7151E"/>
    <w:rsid w:val="264E6599"/>
    <w:rsid w:val="265A09EC"/>
    <w:rsid w:val="26735965"/>
    <w:rsid w:val="26AF0FC7"/>
    <w:rsid w:val="26DA10E7"/>
    <w:rsid w:val="27067D13"/>
    <w:rsid w:val="272F1628"/>
    <w:rsid w:val="272F2574"/>
    <w:rsid w:val="2737322E"/>
    <w:rsid w:val="27395D88"/>
    <w:rsid w:val="274A14BF"/>
    <w:rsid w:val="2753082F"/>
    <w:rsid w:val="27690CAB"/>
    <w:rsid w:val="27814E2E"/>
    <w:rsid w:val="279368B4"/>
    <w:rsid w:val="27CF2993"/>
    <w:rsid w:val="28203502"/>
    <w:rsid w:val="2827113D"/>
    <w:rsid w:val="284429E5"/>
    <w:rsid w:val="287221B4"/>
    <w:rsid w:val="287563F7"/>
    <w:rsid w:val="28A909E5"/>
    <w:rsid w:val="28BD4065"/>
    <w:rsid w:val="28E50DC7"/>
    <w:rsid w:val="2928724A"/>
    <w:rsid w:val="29310E4F"/>
    <w:rsid w:val="293D3FFD"/>
    <w:rsid w:val="29535408"/>
    <w:rsid w:val="29966B12"/>
    <w:rsid w:val="2A0518E9"/>
    <w:rsid w:val="2A360A2A"/>
    <w:rsid w:val="2A7770A7"/>
    <w:rsid w:val="2A791304"/>
    <w:rsid w:val="2A8E05A5"/>
    <w:rsid w:val="2AB30F40"/>
    <w:rsid w:val="2ADB3921"/>
    <w:rsid w:val="2B0534F1"/>
    <w:rsid w:val="2B0F0000"/>
    <w:rsid w:val="2B1B3E1E"/>
    <w:rsid w:val="2B227D1B"/>
    <w:rsid w:val="2B2C4DCF"/>
    <w:rsid w:val="2B3C3E05"/>
    <w:rsid w:val="2B8A5ABD"/>
    <w:rsid w:val="2BA54A64"/>
    <w:rsid w:val="2BA7150F"/>
    <w:rsid w:val="2BEB6C1D"/>
    <w:rsid w:val="2BF97998"/>
    <w:rsid w:val="2C0E34B9"/>
    <w:rsid w:val="2C4E0751"/>
    <w:rsid w:val="2CA34F1C"/>
    <w:rsid w:val="2CB36648"/>
    <w:rsid w:val="2D024D33"/>
    <w:rsid w:val="2D530764"/>
    <w:rsid w:val="2D5F7567"/>
    <w:rsid w:val="2D856C02"/>
    <w:rsid w:val="2DAF7E32"/>
    <w:rsid w:val="2DD93DA3"/>
    <w:rsid w:val="2E105B9B"/>
    <w:rsid w:val="2E4E5D0A"/>
    <w:rsid w:val="2E5A4FF7"/>
    <w:rsid w:val="2E987579"/>
    <w:rsid w:val="2E9E65A1"/>
    <w:rsid w:val="2EAE5D1C"/>
    <w:rsid w:val="2EB10571"/>
    <w:rsid w:val="2EB90119"/>
    <w:rsid w:val="2EFC5901"/>
    <w:rsid w:val="2F4453BC"/>
    <w:rsid w:val="2F582B73"/>
    <w:rsid w:val="2F9006D7"/>
    <w:rsid w:val="2FA11F80"/>
    <w:rsid w:val="2FD10D78"/>
    <w:rsid w:val="303B437C"/>
    <w:rsid w:val="307E5776"/>
    <w:rsid w:val="30A104E6"/>
    <w:rsid w:val="30AF0BB5"/>
    <w:rsid w:val="30D47733"/>
    <w:rsid w:val="30E71BF4"/>
    <w:rsid w:val="31025196"/>
    <w:rsid w:val="312D758B"/>
    <w:rsid w:val="313E15FD"/>
    <w:rsid w:val="313F4E69"/>
    <w:rsid w:val="3144590F"/>
    <w:rsid w:val="314B543C"/>
    <w:rsid w:val="31524FC9"/>
    <w:rsid w:val="316A6269"/>
    <w:rsid w:val="31C8553A"/>
    <w:rsid w:val="31EC711E"/>
    <w:rsid w:val="320638BC"/>
    <w:rsid w:val="32284028"/>
    <w:rsid w:val="32346AF3"/>
    <w:rsid w:val="32365D49"/>
    <w:rsid w:val="324A34AC"/>
    <w:rsid w:val="32894912"/>
    <w:rsid w:val="329437EF"/>
    <w:rsid w:val="32D92BA1"/>
    <w:rsid w:val="32EE2F02"/>
    <w:rsid w:val="3315529D"/>
    <w:rsid w:val="33197E14"/>
    <w:rsid w:val="331F53C2"/>
    <w:rsid w:val="333511D7"/>
    <w:rsid w:val="335C5D8B"/>
    <w:rsid w:val="33703A28"/>
    <w:rsid w:val="33705497"/>
    <w:rsid w:val="33C32E57"/>
    <w:rsid w:val="33DA6765"/>
    <w:rsid w:val="33F05218"/>
    <w:rsid w:val="34433EF7"/>
    <w:rsid w:val="344A1512"/>
    <w:rsid w:val="349641AE"/>
    <w:rsid w:val="34AF35AD"/>
    <w:rsid w:val="352F5810"/>
    <w:rsid w:val="35566641"/>
    <w:rsid w:val="35897CC5"/>
    <w:rsid w:val="35BF42A3"/>
    <w:rsid w:val="35DA3D9F"/>
    <w:rsid w:val="35EE4771"/>
    <w:rsid w:val="35F76070"/>
    <w:rsid w:val="36701A04"/>
    <w:rsid w:val="36E70133"/>
    <w:rsid w:val="36FE78F5"/>
    <w:rsid w:val="372C787A"/>
    <w:rsid w:val="376D78F9"/>
    <w:rsid w:val="37B1105F"/>
    <w:rsid w:val="3813292A"/>
    <w:rsid w:val="381370A9"/>
    <w:rsid w:val="38161615"/>
    <w:rsid w:val="38203C1C"/>
    <w:rsid w:val="38451B58"/>
    <w:rsid w:val="384650F3"/>
    <w:rsid w:val="384C0259"/>
    <w:rsid w:val="38AD21DC"/>
    <w:rsid w:val="38BB3C9B"/>
    <w:rsid w:val="38F4475D"/>
    <w:rsid w:val="39150BB7"/>
    <w:rsid w:val="39607691"/>
    <w:rsid w:val="39CC5220"/>
    <w:rsid w:val="39D30B37"/>
    <w:rsid w:val="39DC448D"/>
    <w:rsid w:val="3A621D25"/>
    <w:rsid w:val="3A901A4A"/>
    <w:rsid w:val="3ABE4708"/>
    <w:rsid w:val="3ACE6CB1"/>
    <w:rsid w:val="3AE43B99"/>
    <w:rsid w:val="3B087A87"/>
    <w:rsid w:val="3B162382"/>
    <w:rsid w:val="3B1F51F4"/>
    <w:rsid w:val="3B3C5A89"/>
    <w:rsid w:val="3B5E20E0"/>
    <w:rsid w:val="3B796E1C"/>
    <w:rsid w:val="3B87779D"/>
    <w:rsid w:val="3B880A37"/>
    <w:rsid w:val="3B913DC8"/>
    <w:rsid w:val="3B945396"/>
    <w:rsid w:val="3BBE2B6D"/>
    <w:rsid w:val="3BE91D24"/>
    <w:rsid w:val="3C8F538D"/>
    <w:rsid w:val="3CA002DF"/>
    <w:rsid w:val="3CCB30E1"/>
    <w:rsid w:val="3CF710CD"/>
    <w:rsid w:val="3D194661"/>
    <w:rsid w:val="3D892469"/>
    <w:rsid w:val="3DB01C71"/>
    <w:rsid w:val="3DEF2232"/>
    <w:rsid w:val="3DF21A0D"/>
    <w:rsid w:val="3E073EF9"/>
    <w:rsid w:val="3E1819C5"/>
    <w:rsid w:val="3E224244"/>
    <w:rsid w:val="3E500352"/>
    <w:rsid w:val="3E607A97"/>
    <w:rsid w:val="3E75440A"/>
    <w:rsid w:val="3E794BED"/>
    <w:rsid w:val="3EAC65BF"/>
    <w:rsid w:val="3EDB4F99"/>
    <w:rsid w:val="3EE70421"/>
    <w:rsid w:val="3F160CEC"/>
    <w:rsid w:val="3F4E63F0"/>
    <w:rsid w:val="3F581564"/>
    <w:rsid w:val="3F581D94"/>
    <w:rsid w:val="3FB42283"/>
    <w:rsid w:val="40157AE4"/>
    <w:rsid w:val="404037D0"/>
    <w:rsid w:val="4061697E"/>
    <w:rsid w:val="407C195F"/>
    <w:rsid w:val="40BD1585"/>
    <w:rsid w:val="40D8284E"/>
    <w:rsid w:val="40E33A04"/>
    <w:rsid w:val="40F81393"/>
    <w:rsid w:val="40FF5762"/>
    <w:rsid w:val="42261BA9"/>
    <w:rsid w:val="4226758A"/>
    <w:rsid w:val="42333AA3"/>
    <w:rsid w:val="424D7003"/>
    <w:rsid w:val="424E5766"/>
    <w:rsid w:val="425C1BC6"/>
    <w:rsid w:val="42617C6D"/>
    <w:rsid w:val="427B204D"/>
    <w:rsid w:val="427E0B44"/>
    <w:rsid w:val="42A93AF7"/>
    <w:rsid w:val="42AA4430"/>
    <w:rsid w:val="42B85FAB"/>
    <w:rsid w:val="434E13F6"/>
    <w:rsid w:val="43514D9E"/>
    <w:rsid w:val="43784A7B"/>
    <w:rsid w:val="43986CAE"/>
    <w:rsid w:val="43A92125"/>
    <w:rsid w:val="43C05AA1"/>
    <w:rsid w:val="43D60503"/>
    <w:rsid w:val="445463F6"/>
    <w:rsid w:val="44BB002C"/>
    <w:rsid w:val="44F86644"/>
    <w:rsid w:val="45117A74"/>
    <w:rsid w:val="4520215A"/>
    <w:rsid w:val="45540B45"/>
    <w:rsid w:val="45A14D35"/>
    <w:rsid w:val="45BF37EC"/>
    <w:rsid w:val="45CC0FF2"/>
    <w:rsid w:val="461555A7"/>
    <w:rsid w:val="46721487"/>
    <w:rsid w:val="467936AA"/>
    <w:rsid w:val="469C1CAA"/>
    <w:rsid w:val="46B9384A"/>
    <w:rsid w:val="46B93DD3"/>
    <w:rsid w:val="46C33003"/>
    <w:rsid w:val="46CA4D72"/>
    <w:rsid w:val="47147F34"/>
    <w:rsid w:val="472C02DB"/>
    <w:rsid w:val="47300EAD"/>
    <w:rsid w:val="473355D1"/>
    <w:rsid w:val="477A75DF"/>
    <w:rsid w:val="47BC2283"/>
    <w:rsid w:val="47C00FB3"/>
    <w:rsid w:val="480B51A4"/>
    <w:rsid w:val="480E07BB"/>
    <w:rsid w:val="48164A46"/>
    <w:rsid w:val="481F76CC"/>
    <w:rsid w:val="484C1811"/>
    <w:rsid w:val="486F58FD"/>
    <w:rsid w:val="488D573B"/>
    <w:rsid w:val="48AC1802"/>
    <w:rsid w:val="48D11B8F"/>
    <w:rsid w:val="48D32101"/>
    <w:rsid w:val="49007EF3"/>
    <w:rsid w:val="49494B53"/>
    <w:rsid w:val="49535AA1"/>
    <w:rsid w:val="498865BA"/>
    <w:rsid w:val="49904655"/>
    <w:rsid w:val="499F33FE"/>
    <w:rsid w:val="49AE7A8C"/>
    <w:rsid w:val="49CC7945"/>
    <w:rsid w:val="49DB54A7"/>
    <w:rsid w:val="4A7E1A7A"/>
    <w:rsid w:val="4A94731B"/>
    <w:rsid w:val="4AA26847"/>
    <w:rsid w:val="4AA54DE6"/>
    <w:rsid w:val="4AAD402C"/>
    <w:rsid w:val="4ADF2178"/>
    <w:rsid w:val="4AE428A2"/>
    <w:rsid w:val="4AE65E07"/>
    <w:rsid w:val="4AFC686B"/>
    <w:rsid w:val="4B194FFF"/>
    <w:rsid w:val="4B1F0298"/>
    <w:rsid w:val="4B2C5D43"/>
    <w:rsid w:val="4B3C2C13"/>
    <w:rsid w:val="4B3F2D11"/>
    <w:rsid w:val="4B694953"/>
    <w:rsid w:val="4B9D0D1C"/>
    <w:rsid w:val="4BA0477D"/>
    <w:rsid w:val="4BC505FD"/>
    <w:rsid w:val="4BC62DBB"/>
    <w:rsid w:val="4BCA697D"/>
    <w:rsid w:val="4C7C638F"/>
    <w:rsid w:val="4C8030EA"/>
    <w:rsid w:val="4C845F3D"/>
    <w:rsid w:val="4C975DC0"/>
    <w:rsid w:val="4D040604"/>
    <w:rsid w:val="4D1E66F6"/>
    <w:rsid w:val="4D2C3966"/>
    <w:rsid w:val="4D5E740F"/>
    <w:rsid w:val="4DA2044A"/>
    <w:rsid w:val="4DA364C7"/>
    <w:rsid w:val="4DD351CC"/>
    <w:rsid w:val="4DF412CD"/>
    <w:rsid w:val="4DF537FE"/>
    <w:rsid w:val="4E5442CB"/>
    <w:rsid w:val="4E900FDD"/>
    <w:rsid w:val="4EA411EF"/>
    <w:rsid w:val="4EDB4744"/>
    <w:rsid w:val="4EF8176B"/>
    <w:rsid w:val="4EFA67C2"/>
    <w:rsid w:val="4EFD108B"/>
    <w:rsid w:val="4F215C85"/>
    <w:rsid w:val="4F571072"/>
    <w:rsid w:val="4F5E1968"/>
    <w:rsid w:val="4F885998"/>
    <w:rsid w:val="4FA61426"/>
    <w:rsid w:val="4FBD1724"/>
    <w:rsid w:val="4FC17501"/>
    <w:rsid w:val="4FF347E3"/>
    <w:rsid w:val="50060F2B"/>
    <w:rsid w:val="50294879"/>
    <w:rsid w:val="50495144"/>
    <w:rsid w:val="509F545B"/>
    <w:rsid w:val="50C77627"/>
    <w:rsid w:val="50CD69B3"/>
    <w:rsid w:val="51106C66"/>
    <w:rsid w:val="511B6516"/>
    <w:rsid w:val="51851E6B"/>
    <w:rsid w:val="51865038"/>
    <w:rsid w:val="52160BE8"/>
    <w:rsid w:val="521C2B45"/>
    <w:rsid w:val="527B60D1"/>
    <w:rsid w:val="527E3DA8"/>
    <w:rsid w:val="52A940FA"/>
    <w:rsid w:val="52DE7F46"/>
    <w:rsid w:val="52F664C5"/>
    <w:rsid w:val="533E1943"/>
    <w:rsid w:val="538E318A"/>
    <w:rsid w:val="538F0203"/>
    <w:rsid w:val="5393499B"/>
    <w:rsid w:val="53B64029"/>
    <w:rsid w:val="53E51F0A"/>
    <w:rsid w:val="53E60DFC"/>
    <w:rsid w:val="53FF2333"/>
    <w:rsid w:val="540811FE"/>
    <w:rsid w:val="542310AF"/>
    <w:rsid w:val="54744D90"/>
    <w:rsid w:val="54AD7FC2"/>
    <w:rsid w:val="54C04D59"/>
    <w:rsid w:val="54C35113"/>
    <w:rsid w:val="54F02B28"/>
    <w:rsid w:val="550A3B29"/>
    <w:rsid w:val="552C17AE"/>
    <w:rsid w:val="55807680"/>
    <w:rsid w:val="559E54AB"/>
    <w:rsid w:val="55B36061"/>
    <w:rsid w:val="55ED4226"/>
    <w:rsid w:val="55F612E4"/>
    <w:rsid w:val="56086D23"/>
    <w:rsid w:val="56533942"/>
    <w:rsid w:val="56612395"/>
    <w:rsid w:val="56A41A68"/>
    <w:rsid w:val="56DE4C80"/>
    <w:rsid w:val="57037A01"/>
    <w:rsid w:val="57336563"/>
    <w:rsid w:val="57846BE9"/>
    <w:rsid w:val="5790423D"/>
    <w:rsid w:val="57960E4D"/>
    <w:rsid w:val="57C97487"/>
    <w:rsid w:val="57DF1068"/>
    <w:rsid w:val="581714FD"/>
    <w:rsid w:val="585079A0"/>
    <w:rsid w:val="586B0E06"/>
    <w:rsid w:val="58797E09"/>
    <w:rsid w:val="58D26386"/>
    <w:rsid w:val="58FF0F73"/>
    <w:rsid w:val="59014763"/>
    <w:rsid w:val="595C6ED1"/>
    <w:rsid w:val="598E1B6C"/>
    <w:rsid w:val="59B174B3"/>
    <w:rsid w:val="59C042C5"/>
    <w:rsid w:val="5A296633"/>
    <w:rsid w:val="5A2E14A3"/>
    <w:rsid w:val="5A6B089E"/>
    <w:rsid w:val="5A9E42A0"/>
    <w:rsid w:val="5AB22ACD"/>
    <w:rsid w:val="5ACC5C00"/>
    <w:rsid w:val="5AF508C9"/>
    <w:rsid w:val="5B0D3FA3"/>
    <w:rsid w:val="5B191FB8"/>
    <w:rsid w:val="5B3A17DE"/>
    <w:rsid w:val="5B6254A8"/>
    <w:rsid w:val="5B68584B"/>
    <w:rsid w:val="5B6B6EC0"/>
    <w:rsid w:val="5B8C5055"/>
    <w:rsid w:val="5BB92359"/>
    <w:rsid w:val="5BBD5742"/>
    <w:rsid w:val="5BCD10C2"/>
    <w:rsid w:val="5BF53D75"/>
    <w:rsid w:val="5C6932AD"/>
    <w:rsid w:val="5C7945AB"/>
    <w:rsid w:val="5CAB074B"/>
    <w:rsid w:val="5CC32318"/>
    <w:rsid w:val="5D8930BC"/>
    <w:rsid w:val="5D9548C2"/>
    <w:rsid w:val="5DAA17D6"/>
    <w:rsid w:val="5DC94F4D"/>
    <w:rsid w:val="5DE10F81"/>
    <w:rsid w:val="5DF404AE"/>
    <w:rsid w:val="5E611F4A"/>
    <w:rsid w:val="5E65442C"/>
    <w:rsid w:val="5E7B2841"/>
    <w:rsid w:val="5E7D78C4"/>
    <w:rsid w:val="5ECF4300"/>
    <w:rsid w:val="5F425A9D"/>
    <w:rsid w:val="5F641002"/>
    <w:rsid w:val="5F82211B"/>
    <w:rsid w:val="5F871BCD"/>
    <w:rsid w:val="5F8E1FF5"/>
    <w:rsid w:val="5FB712FB"/>
    <w:rsid w:val="5FCB048B"/>
    <w:rsid w:val="5FD65E31"/>
    <w:rsid w:val="601E46E8"/>
    <w:rsid w:val="60387F53"/>
    <w:rsid w:val="609E7F91"/>
    <w:rsid w:val="60A46F2C"/>
    <w:rsid w:val="61746027"/>
    <w:rsid w:val="6179191A"/>
    <w:rsid w:val="61BF781A"/>
    <w:rsid w:val="61CC5796"/>
    <w:rsid w:val="61D934FF"/>
    <w:rsid w:val="620363CD"/>
    <w:rsid w:val="62107488"/>
    <w:rsid w:val="62127409"/>
    <w:rsid w:val="62551E46"/>
    <w:rsid w:val="62923EC2"/>
    <w:rsid w:val="62F572EC"/>
    <w:rsid w:val="63480269"/>
    <w:rsid w:val="636702DF"/>
    <w:rsid w:val="63793EF0"/>
    <w:rsid w:val="639268FD"/>
    <w:rsid w:val="642E376A"/>
    <w:rsid w:val="643805B0"/>
    <w:rsid w:val="649D6C00"/>
    <w:rsid w:val="64A96DE3"/>
    <w:rsid w:val="64AD04CF"/>
    <w:rsid w:val="65080B2F"/>
    <w:rsid w:val="651D5B85"/>
    <w:rsid w:val="651F46F8"/>
    <w:rsid w:val="652927FD"/>
    <w:rsid w:val="652B0772"/>
    <w:rsid w:val="65331F9D"/>
    <w:rsid w:val="654E091A"/>
    <w:rsid w:val="654E2D67"/>
    <w:rsid w:val="65601442"/>
    <w:rsid w:val="65912491"/>
    <w:rsid w:val="66513432"/>
    <w:rsid w:val="665D7512"/>
    <w:rsid w:val="66A44F9A"/>
    <w:rsid w:val="66A754F1"/>
    <w:rsid w:val="66C21AFE"/>
    <w:rsid w:val="66CF050A"/>
    <w:rsid w:val="66D5758B"/>
    <w:rsid w:val="66D93DD6"/>
    <w:rsid w:val="67071F5C"/>
    <w:rsid w:val="67345A9C"/>
    <w:rsid w:val="6749181E"/>
    <w:rsid w:val="679B17C4"/>
    <w:rsid w:val="67AB2715"/>
    <w:rsid w:val="67DF7D20"/>
    <w:rsid w:val="67E96632"/>
    <w:rsid w:val="67EC4AD9"/>
    <w:rsid w:val="680A3711"/>
    <w:rsid w:val="685E0F02"/>
    <w:rsid w:val="68660806"/>
    <w:rsid w:val="687509DA"/>
    <w:rsid w:val="6881778A"/>
    <w:rsid w:val="68885B8E"/>
    <w:rsid w:val="68A0008E"/>
    <w:rsid w:val="68A73F7F"/>
    <w:rsid w:val="68B06943"/>
    <w:rsid w:val="68EF3771"/>
    <w:rsid w:val="68F50776"/>
    <w:rsid w:val="69002A05"/>
    <w:rsid w:val="69544C89"/>
    <w:rsid w:val="695609BA"/>
    <w:rsid w:val="696F2A40"/>
    <w:rsid w:val="699C03E1"/>
    <w:rsid w:val="69A9570D"/>
    <w:rsid w:val="69AA7907"/>
    <w:rsid w:val="69BA7BD4"/>
    <w:rsid w:val="69F367D8"/>
    <w:rsid w:val="6A0D58D9"/>
    <w:rsid w:val="6A3D41D9"/>
    <w:rsid w:val="6A43669E"/>
    <w:rsid w:val="6A6D632F"/>
    <w:rsid w:val="6AA11869"/>
    <w:rsid w:val="6AA44600"/>
    <w:rsid w:val="6AA74EE0"/>
    <w:rsid w:val="6AB276C1"/>
    <w:rsid w:val="6AE372FB"/>
    <w:rsid w:val="6AE66F3F"/>
    <w:rsid w:val="6B0A3B7C"/>
    <w:rsid w:val="6B1059AE"/>
    <w:rsid w:val="6B1544A5"/>
    <w:rsid w:val="6B203DEB"/>
    <w:rsid w:val="6B211E7D"/>
    <w:rsid w:val="6B370057"/>
    <w:rsid w:val="6B8C453B"/>
    <w:rsid w:val="6BA016A8"/>
    <w:rsid w:val="6BBD1546"/>
    <w:rsid w:val="6C13716C"/>
    <w:rsid w:val="6C402D72"/>
    <w:rsid w:val="6C671CD8"/>
    <w:rsid w:val="6C6953BB"/>
    <w:rsid w:val="6C975424"/>
    <w:rsid w:val="6CD665FF"/>
    <w:rsid w:val="6CE076E1"/>
    <w:rsid w:val="6CEC571F"/>
    <w:rsid w:val="6D1E2101"/>
    <w:rsid w:val="6D543E96"/>
    <w:rsid w:val="6D5471B2"/>
    <w:rsid w:val="6D593717"/>
    <w:rsid w:val="6D954CA9"/>
    <w:rsid w:val="6DA14AB2"/>
    <w:rsid w:val="6DD97D63"/>
    <w:rsid w:val="6DDC5341"/>
    <w:rsid w:val="6DF11D34"/>
    <w:rsid w:val="6E373AB8"/>
    <w:rsid w:val="6E691A9B"/>
    <w:rsid w:val="6E884143"/>
    <w:rsid w:val="6E9E1B76"/>
    <w:rsid w:val="6EC13730"/>
    <w:rsid w:val="6EEA2A38"/>
    <w:rsid w:val="6F1A51A4"/>
    <w:rsid w:val="6F32751F"/>
    <w:rsid w:val="6F937083"/>
    <w:rsid w:val="6FAB4746"/>
    <w:rsid w:val="6FBD59CD"/>
    <w:rsid w:val="6FC479EF"/>
    <w:rsid w:val="6FCD36AE"/>
    <w:rsid w:val="6FCD4C0C"/>
    <w:rsid w:val="6FD94123"/>
    <w:rsid w:val="6FE0224F"/>
    <w:rsid w:val="6FEF1148"/>
    <w:rsid w:val="701337FC"/>
    <w:rsid w:val="70153E7B"/>
    <w:rsid w:val="70531284"/>
    <w:rsid w:val="70581D5A"/>
    <w:rsid w:val="707E7201"/>
    <w:rsid w:val="70B16E9F"/>
    <w:rsid w:val="70D721C0"/>
    <w:rsid w:val="70EC68C3"/>
    <w:rsid w:val="71083F65"/>
    <w:rsid w:val="716133E1"/>
    <w:rsid w:val="71871EAA"/>
    <w:rsid w:val="719F4641"/>
    <w:rsid w:val="71CC0AB2"/>
    <w:rsid w:val="71D45C15"/>
    <w:rsid w:val="720164A0"/>
    <w:rsid w:val="72035D1C"/>
    <w:rsid w:val="722E1A37"/>
    <w:rsid w:val="7241589A"/>
    <w:rsid w:val="727A5DB2"/>
    <w:rsid w:val="72857E6D"/>
    <w:rsid w:val="73021FE4"/>
    <w:rsid w:val="734B67DA"/>
    <w:rsid w:val="7353347F"/>
    <w:rsid w:val="738E4641"/>
    <w:rsid w:val="74A256BC"/>
    <w:rsid w:val="74B17AA4"/>
    <w:rsid w:val="74BD6F68"/>
    <w:rsid w:val="74C030A5"/>
    <w:rsid w:val="752D7C87"/>
    <w:rsid w:val="755D30C6"/>
    <w:rsid w:val="75695159"/>
    <w:rsid w:val="757604AB"/>
    <w:rsid w:val="75810B73"/>
    <w:rsid w:val="7583561C"/>
    <w:rsid w:val="758A478E"/>
    <w:rsid w:val="76156736"/>
    <w:rsid w:val="765F3624"/>
    <w:rsid w:val="76736ADB"/>
    <w:rsid w:val="7699409D"/>
    <w:rsid w:val="769C4C34"/>
    <w:rsid w:val="76E53025"/>
    <w:rsid w:val="770314C6"/>
    <w:rsid w:val="771C747B"/>
    <w:rsid w:val="77473519"/>
    <w:rsid w:val="774F3836"/>
    <w:rsid w:val="7760157B"/>
    <w:rsid w:val="779A2BBE"/>
    <w:rsid w:val="780B4FB3"/>
    <w:rsid w:val="78157474"/>
    <w:rsid w:val="78432880"/>
    <w:rsid w:val="78621137"/>
    <w:rsid w:val="78BC6B2E"/>
    <w:rsid w:val="78C77D56"/>
    <w:rsid w:val="78D15551"/>
    <w:rsid w:val="78E40E56"/>
    <w:rsid w:val="79955EB4"/>
    <w:rsid w:val="79B345E5"/>
    <w:rsid w:val="79B472D1"/>
    <w:rsid w:val="79C077F0"/>
    <w:rsid w:val="79DB6B15"/>
    <w:rsid w:val="79F71097"/>
    <w:rsid w:val="79FB2E64"/>
    <w:rsid w:val="7A36576C"/>
    <w:rsid w:val="7ADD0520"/>
    <w:rsid w:val="7AF248B8"/>
    <w:rsid w:val="7AF94537"/>
    <w:rsid w:val="7B185A80"/>
    <w:rsid w:val="7B4474FA"/>
    <w:rsid w:val="7B4D096D"/>
    <w:rsid w:val="7B692D74"/>
    <w:rsid w:val="7B6F793D"/>
    <w:rsid w:val="7B704CD6"/>
    <w:rsid w:val="7B7F5B14"/>
    <w:rsid w:val="7BAC6B0B"/>
    <w:rsid w:val="7BD94FB7"/>
    <w:rsid w:val="7C162B1B"/>
    <w:rsid w:val="7C1D3E1D"/>
    <w:rsid w:val="7C4F1E99"/>
    <w:rsid w:val="7C7B16AD"/>
    <w:rsid w:val="7C886687"/>
    <w:rsid w:val="7CBE4520"/>
    <w:rsid w:val="7CCF763F"/>
    <w:rsid w:val="7CD46BE7"/>
    <w:rsid w:val="7CF06A55"/>
    <w:rsid w:val="7D110831"/>
    <w:rsid w:val="7D186CEB"/>
    <w:rsid w:val="7D4F0D7D"/>
    <w:rsid w:val="7D875E9A"/>
    <w:rsid w:val="7DC45A6E"/>
    <w:rsid w:val="7DD44E56"/>
    <w:rsid w:val="7E2F7E17"/>
    <w:rsid w:val="7E392F12"/>
    <w:rsid w:val="7E684750"/>
    <w:rsid w:val="7E9109E7"/>
    <w:rsid w:val="7EED62F7"/>
    <w:rsid w:val="7EF3068B"/>
    <w:rsid w:val="7F054EFD"/>
    <w:rsid w:val="7F4F1FE7"/>
    <w:rsid w:val="7F9E06BE"/>
    <w:rsid w:val="7FBE4750"/>
    <w:rsid w:val="7FEE01E4"/>
    <w:rsid w:val="7FF9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7">
    <w:name w:val="heading 1"/>
    <w:basedOn w:val="1"/>
    <w:next w:val="1"/>
    <w:link w:val="63"/>
    <w:qFormat/>
    <w:uiPriority w:val="9"/>
    <w:pPr>
      <w:keepNext/>
      <w:keepLines/>
      <w:spacing w:before="340" w:after="330" w:line="576" w:lineRule="auto"/>
      <w:outlineLvl w:val="0"/>
    </w:pPr>
    <w:rPr>
      <w:b/>
      <w:kern w:val="44"/>
      <w:sz w:val="28"/>
    </w:rPr>
  </w:style>
  <w:style w:type="paragraph" w:styleId="8">
    <w:name w:val="heading 2"/>
    <w:basedOn w:val="1"/>
    <w:next w:val="1"/>
    <w:link w:val="64"/>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0"/>
    <w:link w:val="65"/>
    <w:qFormat/>
    <w:uiPriority w:val="9"/>
    <w:pPr>
      <w:keepNext/>
      <w:keepLines/>
      <w:spacing w:before="260" w:after="260" w:line="413" w:lineRule="auto"/>
      <w:outlineLvl w:val="2"/>
    </w:pPr>
    <w:rPr>
      <w:b/>
      <w:sz w:val="32"/>
    </w:rPr>
  </w:style>
  <w:style w:type="paragraph" w:styleId="11">
    <w:name w:val="heading 4"/>
    <w:basedOn w:val="1"/>
    <w:next w:val="1"/>
    <w:link w:val="66"/>
    <w:qFormat/>
    <w:uiPriority w:val="0"/>
    <w:pPr>
      <w:keepNext/>
      <w:keepLines/>
      <w:spacing w:line="360" w:lineRule="auto"/>
      <w:outlineLvl w:val="3"/>
    </w:pPr>
    <w:rPr>
      <w:rFonts w:ascii="Arial" w:hAnsi="Arial"/>
      <w:b/>
    </w:rPr>
  </w:style>
  <w:style w:type="paragraph" w:styleId="12">
    <w:name w:val="heading 6"/>
    <w:basedOn w:val="1"/>
    <w:next w:val="1"/>
    <w:link w:val="67"/>
    <w:qFormat/>
    <w:uiPriority w:val="0"/>
    <w:pPr>
      <w:keepNext/>
      <w:keepLines/>
      <w:widowControl/>
      <w:tabs>
        <w:tab w:val="left" w:pos="1440"/>
      </w:tabs>
      <w:spacing w:before="240" w:after="64" w:line="320" w:lineRule="auto"/>
      <w:ind w:left="1145" w:leftChars="200" w:hanging="725" w:hangingChars="344"/>
      <w:jc w:val="left"/>
      <w:outlineLvl w:val="5"/>
    </w:pPr>
    <w:rPr>
      <w:rFonts w:ascii="Arial" w:hAnsi="Arial"/>
      <w:b/>
    </w:rPr>
  </w:style>
  <w:style w:type="paragraph" w:styleId="13">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4">
    <w:name w:val="heading 8"/>
    <w:basedOn w:val="1"/>
    <w:next w:val="1"/>
    <w:link w:val="6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5">
    <w:name w:val="heading 9"/>
    <w:basedOn w:val="1"/>
    <w:next w:val="1"/>
    <w:link w:val="7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5">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widowControl/>
      <w:spacing w:after="120" w:afterLines="0"/>
      <w:ind w:firstLine="420" w:firstLineChars="100"/>
      <w:jc w:val="left"/>
    </w:pPr>
    <w:rPr>
      <w:kern w:val="0"/>
      <w:sz w:val="20"/>
    </w:rPr>
  </w:style>
  <w:style w:type="paragraph" w:styleId="3">
    <w:name w:val="Body Text"/>
    <w:basedOn w:val="1"/>
    <w:next w:val="4"/>
    <w:link w:val="111"/>
    <w:qFormat/>
    <w:uiPriority w:val="0"/>
    <w:rPr>
      <w:rFonts w:eastAsia="楷体_GB2312" w:asciiTheme="minorHAnsi" w:hAnsiTheme="minorHAnsi" w:cstheme="minorBidi"/>
      <w:bCs/>
      <w:sz w:val="32"/>
      <w:szCs w:val="24"/>
    </w:rPr>
  </w:style>
  <w:style w:type="paragraph" w:styleId="4">
    <w:name w:val="Body Text 2"/>
    <w:basedOn w:val="1"/>
    <w:link w:val="107"/>
    <w:qFormat/>
    <w:uiPriority w:val="0"/>
    <w:pPr>
      <w:spacing w:after="120" w:line="480" w:lineRule="auto"/>
    </w:pPr>
    <w:rPr>
      <w:rFonts w:asciiTheme="minorHAnsi" w:hAnsiTheme="minorHAnsi" w:eastAsiaTheme="minorEastAsia" w:cstheme="minorBidi"/>
      <w:szCs w:val="24"/>
    </w:rPr>
  </w:style>
  <w:style w:type="paragraph" w:styleId="5">
    <w:name w:val="Body Text First Indent 2"/>
    <w:basedOn w:val="6"/>
    <w:unhideWhenUsed/>
    <w:qFormat/>
    <w:uiPriority w:val="99"/>
    <w:pPr>
      <w:ind w:firstLine="420" w:firstLineChars="200"/>
    </w:pPr>
  </w:style>
  <w:style w:type="paragraph" w:styleId="6">
    <w:name w:val="Body Text Indent"/>
    <w:basedOn w:val="1"/>
    <w:link w:val="115"/>
    <w:qFormat/>
    <w:uiPriority w:val="0"/>
    <w:pPr>
      <w:spacing w:after="120"/>
      <w:ind w:left="420" w:leftChars="200"/>
    </w:pPr>
  </w:style>
  <w:style w:type="paragraph" w:customStyle="1" w:styleId="1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16">
    <w:name w:val="toc 7"/>
    <w:basedOn w:val="1"/>
    <w:next w:val="1"/>
    <w:qFormat/>
    <w:uiPriority w:val="39"/>
    <w:pPr>
      <w:ind w:left="2520" w:leftChars="1200"/>
    </w:pPr>
    <w:rPr>
      <w:szCs w:val="24"/>
    </w:rPr>
  </w:style>
  <w:style w:type="paragraph" w:styleId="17">
    <w:name w:val="index 8"/>
    <w:basedOn w:val="1"/>
    <w:next w:val="1"/>
    <w:qFormat/>
    <w:uiPriority w:val="0"/>
    <w:pPr>
      <w:ind w:left="1400" w:leftChars="1400"/>
    </w:pPr>
    <w:rPr>
      <w:szCs w:val="24"/>
    </w:rPr>
  </w:style>
  <w:style w:type="paragraph" w:styleId="18">
    <w:name w:val="Normal Indent"/>
    <w:basedOn w:val="1"/>
    <w:link w:val="94"/>
    <w:qFormat/>
    <w:uiPriority w:val="0"/>
    <w:pPr>
      <w:adjustRightInd w:val="0"/>
      <w:ind w:firstLine="420"/>
      <w:jc w:val="left"/>
      <w:textAlignment w:val="baseline"/>
    </w:pPr>
    <w:rPr>
      <w:rFonts w:eastAsia="楷体_GB2312" w:asciiTheme="minorHAnsi" w:hAnsiTheme="minorHAnsi" w:cstheme="minorBidi"/>
      <w:sz w:val="24"/>
      <w:szCs w:val="22"/>
    </w:rPr>
  </w:style>
  <w:style w:type="paragraph" w:styleId="19">
    <w:name w:val="index 5"/>
    <w:basedOn w:val="1"/>
    <w:next w:val="1"/>
    <w:qFormat/>
    <w:uiPriority w:val="0"/>
    <w:pPr>
      <w:ind w:left="800" w:leftChars="800"/>
    </w:pPr>
    <w:rPr>
      <w:szCs w:val="24"/>
    </w:rPr>
  </w:style>
  <w:style w:type="paragraph" w:styleId="20">
    <w:name w:val="Document Map"/>
    <w:basedOn w:val="1"/>
    <w:link w:val="112"/>
    <w:qFormat/>
    <w:uiPriority w:val="0"/>
    <w:pPr>
      <w:shd w:val="clear" w:color="auto" w:fill="000080"/>
    </w:pPr>
  </w:style>
  <w:style w:type="paragraph" w:styleId="21">
    <w:name w:val="annotation text"/>
    <w:basedOn w:val="1"/>
    <w:link w:val="104"/>
    <w:unhideWhenUsed/>
    <w:qFormat/>
    <w:uiPriority w:val="0"/>
    <w:pPr>
      <w:jc w:val="left"/>
    </w:pPr>
  </w:style>
  <w:style w:type="paragraph" w:styleId="22">
    <w:name w:val="index 6"/>
    <w:basedOn w:val="1"/>
    <w:next w:val="1"/>
    <w:qFormat/>
    <w:uiPriority w:val="0"/>
    <w:pPr>
      <w:ind w:left="1000" w:leftChars="1000"/>
    </w:pPr>
    <w:rPr>
      <w:szCs w:val="24"/>
    </w:rPr>
  </w:style>
  <w:style w:type="paragraph" w:styleId="23">
    <w:name w:val="Body Text 3"/>
    <w:basedOn w:val="1"/>
    <w:link w:val="113"/>
    <w:qFormat/>
    <w:uiPriority w:val="0"/>
    <w:rPr>
      <w:rFonts w:ascii="宋体" w:hAnsiTheme="minorHAnsi" w:eastAsiaTheme="minorEastAsia" w:cstheme="minorBidi"/>
      <w:sz w:val="24"/>
      <w:szCs w:val="22"/>
    </w:rPr>
  </w:style>
  <w:style w:type="paragraph" w:styleId="24">
    <w:name w:val="List 2"/>
    <w:basedOn w:val="1"/>
    <w:qFormat/>
    <w:uiPriority w:val="0"/>
    <w:pPr>
      <w:ind w:left="100" w:leftChars="200" w:hanging="200" w:hangingChars="200"/>
    </w:pPr>
    <w:rPr>
      <w:szCs w:val="24"/>
    </w:rPr>
  </w:style>
  <w:style w:type="paragraph" w:styleId="25">
    <w:name w:val="List Continue"/>
    <w:basedOn w:val="1"/>
    <w:qFormat/>
    <w:uiPriority w:val="0"/>
    <w:pPr>
      <w:spacing w:after="120"/>
      <w:ind w:left="420" w:leftChars="200"/>
    </w:pPr>
    <w:rPr>
      <w:szCs w:val="24"/>
    </w:rPr>
  </w:style>
  <w:style w:type="paragraph" w:styleId="26">
    <w:name w:val="index 4"/>
    <w:basedOn w:val="1"/>
    <w:next w:val="1"/>
    <w:qFormat/>
    <w:uiPriority w:val="0"/>
    <w:pPr>
      <w:ind w:left="600" w:leftChars="600"/>
    </w:pPr>
    <w:rPr>
      <w:szCs w:val="24"/>
    </w:rPr>
  </w:style>
  <w:style w:type="paragraph" w:styleId="27">
    <w:name w:val="toc 5"/>
    <w:basedOn w:val="1"/>
    <w:next w:val="1"/>
    <w:qFormat/>
    <w:uiPriority w:val="39"/>
    <w:pPr>
      <w:ind w:left="1680" w:leftChars="800"/>
    </w:pPr>
    <w:rPr>
      <w:szCs w:val="24"/>
    </w:rPr>
  </w:style>
  <w:style w:type="paragraph" w:styleId="28">
    <w:name w:val="toc 3"/>
    <w:basedOn w:val="1"/>
    <w:next w:val="1"/>
    <w:qFormat/>
    <w:uiPriority w:val="39"/>
    <w:pPr>
      <w:tabs>
        <w:tab w:val="right" w:leader="dot" w:pos="9060"/>
      </w:tabs>
      <w:ind w:left="540" w:leftChars="257" w:firstLine="1"/>
    </w:pPr>
  </w:style>
  <w:style w:type="paragraph" w:styleId="29">
    <w:name w:val="Plain Text"/>
    <w:basedOn w:val="1"/>
    <w:link w:val="110"/>
    <w:qFormat/>
    <w:uiPriority w:val="0"/>
    <w:rPr>
      <w:rFonts w:ascii="宋体" w:hAnsi="Courier New" w:cstheme="minorBidi"/>
      <w:szCs w:val="22"/>
    </w:rPr>
  </w:style>
  <w:style w:type="paragraph" w:styleId="30">
    <w:name w:val="toc 8"/>
    <w:basedOn w:val="1"/>
    <w:next w:val="1"/>
    <w:qFormat/>
    <w:uiPriority w:val="39"/>
    <w:pPr>
      <w:ind w:left="2940" w:leftChars="1400"/>
    </w:pPr>
    <w:rPr>
      <w:szCs w:val="24"/>
    </w:rPr>
  </w:style>
  <w:style w:type="paragraph" w:styleId="31">
    <w:name w:val="index 3"/>
    <w:basedOn w:val="1"/>
    <w:next w:val="1"/>
    <w:qFormat/>
    <w:uiPriority w:val="0"/>
    <w:pPr>
      <w:ind w:left="400" w:leftChars="400"/>
    </w:pPr>
    <w:rPr>
      <w:szCs w:val="24"/>
    </w:rPr>
  </w:style>
  <w:style w:type="paragraph" w:styleId="32">
    <w:name w:val="Date"/>
    <w:basedOn w:val="1"/>
    <w:next w:val="1"/>
    <w:link w:val="108"/>
    <w:qFormat/>
    <w:uiPriority w:val="0"/>
    <w:pPr>
      <w:ind w:left="100" w:leftChars="2500"/>
    </w:pPr>
    <w:rPr>
      <w:sz w:val="28"/>
    </w:rPr>
  </w:style>
  <w:style w:type="paragraph" w:styleId="33">
    <w:name w:val="Body Text Indent 2"/>
    <w:basedOn w:val="1"/>
    <w:link w:val="114"/>
    <w:qFormat/>
    <w:uiPriority w:val="0"/>
    <w:pPr>
      <w:spacing w:after="120" w:line="480" w:lineRule="auto"/>
      <w:ind w:left="420" w:leftChars="200"/>
    </w:pPr>
    <w:rPr>
      <w:rFonts w:asciiTheme="minorHAnsi" w:hAnsiTheme="minorHAnsi" w:eastAsiaTheme="minorEastAsia" w:cstheme="minorBidi"/>
      <w:szCs w:val="22"/>
    </w:rPr>
  </w:style>
  <w:style w:type="paragraph" w:styleId="34">
    <w:name w:val="Balloon Text"/>
    <w:basedOn w:val="1"/>
    <w:link w:val="109"/>
    <w:qFormat/>
    <w:uiPriority w:val="99"/>
    <w:rPr>
      <w:rFonts w:asciiTheme="minorHAnsi" w:hAnsiTheme="minorHAnsi" w:eastAsiaTheme="minorEastAsia" w:cstheme="minorBidi"/>
      <w:sz w:val="18"/>
      <w:szCs w:val="18"/>
    </w:rPr>
  </w:style>
  <w:style w:type="paragraph" w:styleId="35">
    <w:name w:val="footer"/>
    <w:basedOn w:val="1"/>
    <w:link w:val="62"/>
    <w:unhideWhenUsed/>
    <w:qFormat/>
    <w:uiPriority w:val="99"/>
    <w:pPr>
      <w:tabs>
        <w:tab w:val="center" w:pos="4153"/>
        <w:tab w:val="right" w:pos="8306"/>
      </w:tabs>
      <w:snapToGrid w:val="0"/>
      <w:jc w:val="left"/>
    </w:pPr>
    <w:rPr>
      <w:sz w:val="18"/>
      <w:szCs w:val="18"/>
    </w:rPr>
  </w:style>
  <w:style w:type="paragraph" w:styleId="3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rPr>
      <w:sz w:val="24"/>
    </w:rPr>
  </w:style>
  <w:style w:type="paragraph" w:styleId="38">
    <w:name w:val="toc 4"/>
    <w:basedOn w:val="1"/>
    <w:next w:val="1"/>
    <w:qFormat/>
    <w:uiPriority w:val="39"/>
    <w:pPr>
      <w:ind w:left="1260" w:leftChars="600"/>
    </w:pPr>
    <w:rPr>
      <w:szCs w:val="24"/>
    </w:rPr>
  </w:style>
  <w:style w:type="paragraph" w:styleId="39">
    <w:name w:val="index heading"/>
    <w:basedOn w:val="1"/>
    <w:next w:val="40"/>
    <w:qFormat/>
    <w:uiPriority w:val="0"/>
    <w:rPr>
      <w:szCs w:val="24"/>
    </w:rPr>
  </w:style>
  <w:style w:type="paragraph" w:styleId="40">
    <w:name w:val="index 1"/>
    <w:basedOn w:val="1"/>
    <w:next w:val="1"/>
    <w:qFormat/>
    <w:uiPriority w:val="0"/>
    <w:rPr>
      <w:szCs w:val="24"/>
    </w:rPr>
  </w:style>
  <w:style w:type="paragraph" w:styleId="41">
    <w:name w:val="List"/>
    <w:basedOn w:val="1"/>
    <w:qFormat/>
    <w:uiPriority w:val="0"/>
    <w:pPr>
      <w:ind w:left="200" w:hanging="200" w:hangingChars="200"/>
    </w:pPr>
    <w:rPr>
      <w:szCs w:val="24"/>
    </w:rPr>
  </w:style>
  <w:style w:type="paragraph" w:styleId="42">
    <w:name w:val="toc 6"/>
    <w:basedOn w:val="1"/>
    <w:next w:val="1"/>
    <w:qFormat/>
    <w:uiPriority w:val="39"/>
    <w:pPr>
      <w:ind w:left="2100" w:leftChars="1000"/>
    </w:pPr>
    <w:rPr>
      <w:szCs w:val="24"/>
    </w:rPr>
  </w:style>
  <w:style w:type="paragraph" w:styleId="43">
    <w:name w:val="Body Text Indent 3"/>
    <w:basedOn w:val="1"/>
    <w:link w:val="117"/>
    <w:qFormat/>
    <w:uiPriority w:val="0"/>
    <w:pPr>
      <w:ind w:firstLine="420" w:firstLineChars="200"/>
    </w:pPr>
    <w:rPr>
      <w:rFonts w:ascii="宋体" w:hAnsi="宋体"/>
    </w:rPr>
  </w:style>
  <w:style w:type="paragraph" w:styleId="44">
    <w:name w:val="index 7"/>
    <w:basedOn w:val="1"/>
    <w:next w:val="1"/>
    <w:qFormat/>
    <w:uiPriority w:val="0"/>
    <w:pPr>
      <w:ind w:left="1200" w:leftChars="1200"/>
    </w:pPr>
    <w:rPr>
      <w:szCs w:val="24"/>
    </w:rPr>
  </w:style>
  <w:style w:type="paragraph" w:styleId="45">
    <w:name w:val="index 9"/>
    <w:basedOn w:val="1"/>
    <w:next w:val="1"/>
    <w:qFormat/>
    <w:uiPriority w:val="0"/>
    <w:pPr>
      <w:ind w:left="1600" w:leftChars="1600"/>
    </w:pPr>
    <w:rPr>
      <w:szCs w:val="24"/>
    </w:rPr>
  </w:style>
  <w:style w:type="paragraph" w:styleId="46">
    <w:name w:val="table of figures"/>
    <w:basedOn w:val="1"/>
    <w:next w:val="1"/>
    <w:qFormat/>
    <w:uiPriority w:val="0"/>
    <w:pPr>
      <w:ind w:left="640" w:hanging="640"/>
      <w:jc w:val="left"/>
    </w:pPr>
    <w:rPr>
      <w:smallCaps/>
      <w:kern w:val="0"/>
      <w:sz w:val="20"/>
    </w:rPr>
  </w:style>
  <w:style w:type="paragraph" w:styleId="47">
    <w:name w:val="toc 2"/>
    <w:basedOn w:val="1"/>
    <w:next w:val="1"/>
    <w:qFormat/>
    <w:uiPriority w:val="39"/>
    <w:pPr>
      <w:ind w:left="420" w:leftChars="200"/>
    </w:pPr>
  </w:style>
  <w:style w:type="paragraph" w:styleId="48">
    <w:name w:val="toc 9"/>
    <w:basedOn w:val="1"/>
    <w:next w:val="1"/>
    <w:qFormat/>
    <w:uiPriority w:val="39"/>
    <w:pPr>
      <w:ind w:left="3360" w:leftChars="1600"/>
    </w:pPr>
    <w:rPr>
      <w:szCs w:val="24"/>
    </w:rPr>
  </w:style>
  <w:style w:type="paragraph" w:styleId="49">
    <w:name w:val="HTML Preformatted"/>
    <w:basedOn w:val="1"/>
    <w:link w:val="1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eastAsiaTheme="minorEastAsia"/>
      <w:szCs w:val="21"/>
    </w:rPr>
  </w:style>
  <w:style w:type="paragraph" w:styleId="5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51">
    <w:name w:val="index 2"/>
    <w:basedOn w:val="1"/>
    <w:next w:val="1"/>
    <w:qFormat/>
    <w:uiPriority w:val="0"/>
    <w:pPr>
      <w:ind w:left="200" w:leftChars="200"/>
    </w:pPr>
    <w:rPr>
      <w:szCs w:val="24"/>
    </w:rPr>
  </w:style>
  <w:style w:type="paragraph" w:styleId="52">
    <w:name w:val="Title"/>
    <w:basedOn w:val="1"/>
    <w:next w:val="1"/>
    <w:link w:val="116"/>
    <w:qFormat/>
    <w:uiPriority w:val="0"/>
    <w:pPr>
      <w:spacing w:before="240" w:after="60"/>
      <w:jc w:val="center"/>
      <w:outlineLvl w:val="0"/>
    </w:pPr>
    <w:rPr>
      <w:rFonts w:ascii="Cambria" w:hAnsi="Cambria" w:eastAsiaTheme="minorEastAsia"/>
      <w:b/>
      <w:bCs/>
      <w:sz w:val="32"/>
      <w:szCs w:val="32"/>
    </w:rPr>
  </w:style>
  <w:style w:type="paragraph" w:styleId="53">
    <w:name w:val="annotation subject"/>
    <w:basedOn w:val="21"/>
    <w:next w:val="21"/>
    <w:link w:val="105"/>
    <w:qFormat/>
    <w:uiPriority w:val="0"/>
    <w:rPr>
      <w:rFonts w:asciiTheme="minorHAnsi" w:hAnsiTheme="minorHAnsi" w:eastAsiaTheme="minorEastAsia" w:cstheme="minorBidi"/>
      <w:b/>
      <w:bCs/>
      <w:szCs w:val="24"/>
    </w:rPr>
  </w:style>
  <w:style w:type="character" w:styleId="56">
    <w:name w:val="Strong"/>
    <w:qFormat/>
    <w:uiPriority w:val="22"/>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customStyle="1" w:styleId="61">
    <w:name w:val="页眉 Char"/>
    <w:basedOn w:val="55"/>
    <w:link w:val="36"/>
    <w:qFormat/>
    <w:uiPriority w:val="0"/>
    <w:rPr>
      <w:sz w:val="18"/>
      <w:szCs w:val="18"/>
    </w:rPr>
  </w:style>
  <w:style w:type="character" w:customStyle="1" w:styleId="62">
    <w:name w:val="页脚 Char"/>
    <w:basedOn w:val="55"/>
    <w:link w:val="35"/>
    <w:qFormat/>
    <w:uiPriority w:val="99"/>
    <w:rPr>
      <w:sz w:val="18"/>
      <w:szCs w:val="18"/>
    </w:rPr>
  </w:style>
  <w:style w:type="character" w:customStyle="1" w:styleId="63">
    <w:name w:val="标题 1 Char"/>
    <w:basedOn w:val="55"/>
    <w:link w:val="7"/>
    <w:qFormat/>
    <w:uiPriority w:val="9"/>
    <w:rPr>
      <w:rFonts w:ascii="Calibri" w:hAnsi="Calibri" w:eastAsia="宋体" w:cs="Times New Roman"/>
      <w:b/>
      <w:kern w:val="44"/>
      <w:sz w:val="28"/>
      <w:szCs w:val="20"/>
    </w:rPr>
  </w:style>
  <w:style w:type="character" w:customStyle="1" w:styleId="64">
    <w:name w:val="标题 2 Char"/>
    <w:basedOn w:val="55"/>
    <w:link w:val="8"/>
    <w:qFormat/>
    <w:uiPriority w:val="0"/>
    <w:rPr>
      <w:rFonts w:ascii="Arial" w:hAnsi="Arial" w:eastAsia="黑体" w:cs="Times New Roman"/>
      <w:b/>
      <w:sz w:val="32"/>
      <w:szCs w:val="20"/>
    </w:rPr>
  </w:style>
  <w:style w:type="character" w:customStyle="1" w:styleId="65">
    <w:name w:val="标题 3 Char"/>
    <w:basedOn w:val="55"/>
    <w:link w:val="9"/>
    <w:qFormat/>
    <w:uiPriority w:val="9"/>
    <w:rPr>
      <w:rFonts w:ascii="Calibri" w:hAnsi="Calibri" w:eastAsia="宋体" w:cs="Times New Roman"/>
      <w:b/>
      <w:sz w:val="32"/>
      <w:szCs w:val="20"/>
    </w:rPr>
  </w:style>
  <w:style w:type="character" w:customStyle="1" w:styleId="66">
    <w:name w:val="标题 4 Char"/>
    <w:basedOn w:val="55"/>
    <w:link w:val="11"/>
    <w:qFormat/>
    <w:uiPriority w:val="0"/>
    <w:rPr>
      <w:rFonts w:ascii="Arial" w:hAnsi="Arial" w:eastAsia="宋体" w:cs="Times New Roman"/>
      <w:b/>
      <w:szCs w:val="20"/>
    </w:rPr>
  </w:style>
  <w:style w:type="character" w:customStyle="1" w:styleId="67">
    <w:name w:val="标题 6 Char"/>
    <w:basedOn w:val="55"/>
    <w:link w:val="12"/>
    <w:qFormat/>
    <w:uiPriority w:val="0"/>
    <w:rPr>
      <w:rFonts w:ascii="Arial" w:hAnsi="Arial" w:eastAsia="宋体" w:cs="Times New Roman"/>
      <w:b/>
      <w:szCs w:val="20"/>
    </w:rPr>
  </w:style>
  <w:style w:type="character" w:customStyle="1" w:styleId="68">
    <w:name w:val="标题 7 Char"/>
    <w:basedOn w:val="55"/>
    <w:link w:val="13"/>
    <w:qFormat/>
    <w:uiPriority w:val="0"/>
    <w:rPr>
      <w:rFonts w:ascii="Calibri" w:hAnsi="Calibri" w:eastAsia="宋体" w:cs="Times New Roman"/>
      <w:b/>
      <w:bCs/>
      <w:kern w:val="0"/>
      <w:sz w:val="24"/>
      <w:szCs w:val="24"/>
    </w:rPr>
  </w:style>
  <w:style w:type="character" w:customStyle="1" w:styleId="69">
    <w:name w:val="标题 8 Char"/>
    <w:basedOn w:val="55"/>
    <w:link w:val="14"/>
    <w:qFormat/>
    <w:uiPriority w:val="0"/>
    <w:rPr>
      <w:rFonts w:ascii="Arial" w:hAnsi="Arial" w:eastAsia="黑体" w:cs="Times New Roman"/>
      <w:kern w:val="0"/>
      <w:sz w:val="24"/>
      <w:szCs w:val="24"/>
    </w:rPr>
  </w:style>
  <w:style w:type="character" w:customStyle="1" w:styleId="70">
    <w:name w:val="标题 9 Char"/>
    <w:basedOn w:val="55"/>
    <w:link w:val="15"/>
    <w:qFormat/>
    <w:uiPriority w:val="0"/>
    <w:rPr>
      <w:rFonts w:ascii="Arial" w:hAnsi="Arial" w:eastAsia="黑体" w:cs="Times New Roman"/>
      <w:kern w:val="0"/>
      <w:szCs w:val="21"/>
    </w:rPr>
  </w:style>
  <w:style w:type="character" w:customStyle="1" w:styleId="71">
    <w:name w:val="样式 加粗"/>
    <w:qFormat/>
    <w:uiPriority w:val="0"/>
    <w:rPr>
      <w:b/>
      <w:bCs/>
      <w:sz w:val="21"/>
    </w:rPr>
  </w:style>
  <w:style w:type="character" w:customStyle="1" w:styleId="72">
    <w:name w:val="ca-12"/>
    <w:basedOn w:val="55"/>
    <w:qFormat/>
    <w:uiPriority w:val="0"/>
  </w:style>
  <w:style w:type="character" w:customStyle="1" w:styleId="73">
    <w:name w:val="p21"/>
    <w:qFormat/>
    <w:uiPriority w:val="0"/>
    <w:rPr>
      <w:sz w:val="9"/>
      <w:szCs w:val="9"/>
    </w:rPr>
  </w:style>
  <w:style w:type="character" w:customStyle="1" w:styleId="74">
    <w:name w:val="Char Char19"/>
    <w:qFormat/>
    <w:uiPriority w:val="0"/>
    <w:rPr>
      <w:rFonts w:ascii="Arial" w:hAnsi="Arial" w:eastAsia="黑体"/>
      <w:b/>
      <w:bCs/>
      <w:kern w:val="2"/>
      <w:sz w:val="32"/>
      <w:szCs w:val="32"/>
      <w:lang w:val="en-US" w:eastAsia="zh-CN" w:bidi="ar-SA"/>
    </w:rPr>
  </w:style>
  <w:style w:type="character" w:customStyle="1" w:styleId="75">
    <w:name w:val="批注主题 Char"/>
    <w:link w:val="53"/>
    <w:qFormat/>
    <w:uiPriority w:val="0"/>
    <w:rPr>
      <w:b/>
      <w:bCs/>
      <w:szCs w:val="24"/>
    </w:rPr>
  </w:style>
  <w:style w:type="character" w:customStyle="1" w:styleId="76">
    <w:name w:val="纯文本 Char"/>
    <w:qFormat/>
    <w:uiPriority w:val="0"/>
    <w:rPr>
      <w:rFonts w:ascii="宋体" w:hAnsi="Courier New" w:eastAsia="宋体"/>
      <w:kern w:val="2"/>
      <w:sz w:val="21"/>
      <w:lang w:val="en-US" w:eastAsia="zh-CN"/>
    </w:rPr>
  </w:style>
  <w:style w:type="character" w:customStyle="1" w:styleId="77">
    <w:name w:val="页脚 Char2"/>
    <w:qFormat/>
    <w:uiPriority w:val="0"/>
    <w:rPr>
      <w:rFonts w:eastAsia="宋体"/>
      <w:kern w:val="2"/>
      <w:sz w:val="18"/>
      <w:szCs w:val="18"/>
      <w:lang w:val="en-US" w:eastAsia="zh-CN" w:bidi="ar-SA"/>
    </w:rPr>
  </w:style>
  <w:style w:type="character" w:customStyle="1" w:styleId="78">
    <w:name w:val="标题 Char"/>
    <w:link w:val="52"/>
    <w:qFormat/>
    <w:uiPriority w:val="0"/>
    <w:rPr>
      <w:rFonts w:ascii="Cambria" w:hAnsi="Cambria" w:cs="Times New Roman"/>
      <w:b/>
      <w:bCs/>
      <w:sz w:val="32"/>
      <w:szCs w:val="32"/>
    </w:rPr>
  </w:style>
  <w:style w:type="character" w:customStyle="1" w:styleId="79">
    <w:name w:val="首行缩进两字 Char1"/>
    <w:link w:val="80"/>
    <w:qFormat/>
    <w:uiPriority w:val="0"/>
    <w:rPr>
      <w:rFonts w:ascii="宋体" w:hAnsi="宋体" w:eastAsia="宋体"/>
      <w:color w:val="000000"/>
      <w:sz w:val="28"/>
    </w:rPr>
  </w:style>
  <w:style w:type="paragraph" w:customStyle="1" w:styleId="80">
    <w:name w:val="首行缩进两字"/>
    <w:basedOn w:val="1"/>
    <w:link w:val="79"/>
    <w:qFormat/>
    <w:uiPriority w:val="0"/>
    <w:pPr>
      <w:ind w:firstLine="549" w:firstLineChars="200"/>
      <w:jc w:val="left"/>
    </w:pPr>
    <w:rPr>
      <w:rFonts w:ascii="宋体" w:hAnsi="宋体" w:cstheme="minorBidi"/>
      <w:color w:val="000000"/>
      <w:sz w:val="28"/>
      <w:szCs w:val="22"/>
    </w:rPr>
  </w:style>
  <w:style w:type="character" w:customStyle="1" w:styleId="81">
    <w:name w:val="纯文本 Char1"/>
    <w:link w:val="29"/>
    <w:qFormat/>
    <w:uiPriority w:val="0"/>
    <w:rPr>
      <w:rFonts w:ascii="宋体" w:hAnsi="Courier New" w:eastAsia="宋体"/>
    </w:rPr>
  </w:style>
  <w:style w:type="character" w:customStyle="1" w:styleId="82">
    <w:name w:val="正文文本缩进 2 Char"/>
    <w:link w:val="33"/>
    <w:qFormat/>
    <w:uiPriority w:val="0"/>
  </w:style>
  <w:style w:type="character" w:customStyle="1" w:styleId="83">
    <w:name w:val="font5 Char"/>
    <w:link w:val="84"/>
    <w:qFormat/>
    <w:uiPriority w:val="0"/>
    <w:rPr>
      <w:rFonts w:ascii="宋体" w:hAnsi="宋体"/>
      <w:sz w:val="24"/>
      <w:szCs w:val="24"/>
    </w:rPr>
  </w:style>
  <w:style w:type="paragraph" w:customStyle="1" w:styleId="84">
    <w:name w:val="font5"/>
    <w:basedOn w:val="1"/>
    <w:link w:val="83"/>
    <w:qFormat/>
    <w:uiPriority w:val="0"/>
    <w:pPr>
      <w:widowControl/>
      <w:spacing w:before="100" w:beforeAutospacing="1" w:after="100" w:afterAutospacing="1"/>
      <w:jc w:val="left"/>
    </w:pPr>
    <w:rPr>
      <w:rFonts w:ascii="宋体" w:hAnsi="宋体" w:eastAsiaTheme="minorEastAsia" w:cstheme="minorBidi"/>
      <w:sz w:val="24"/>
      <w:szCs w:val="24"/>
    </w:rPr>
  </w:style>
  <w:style w:type="character" w:customStyle="1" w:styleId="85">
    <w:name w:val="页眉 Char1"/>
    <w:qFormat/>
    <w:uiPriority w:val="0"/>
    <w:rPr>
      <w:rFonts w:eastAsia="宋体"/>
      <w:kern w:val="2"/>
      <w:sz w:val="18"/>
      <w:szCs w:val="18"/>
      <w:lang w:val="en-US" w:eastAsia="zh-CN" w:bidi="ar-SA"/>
    </w:rPr>
  </w:style>
  <w:style w:type="character" w:customStyle="1" w:styleId="86">
    <w:name w:val="Char Char4"/>
    <w:qFormat/>
    <w:uiPriority w:val="0"/>
    <w:rPr>
      <w:rFonts w:ascii="Arial" w:hAnsi="Arial" w:eastAsia="黑体"/>
      <w:b/>
      <w:kern w:val="2"/>
      <w:sz w:val="32"/>
      <w:lang w:val="en-US" w:eastAsia="zh-CN"/>
    </w:rPr>
  </w:style>
  <w:style w:type="character" w:customStyle="1" w:styleId="87">
    <w:name w:val="Char Char2"/>
    <w:qFormat/>
    <w:uiPriority w:val="0"/>
    <w:rPr>
      <w:rFonts w:ascii="宋体" w:hAnsi="宋体" w:cs="宋体"/>
      <w:b/>
      <w:bCs/>
      <w:kern w:val="36"/>
      <w:sz w:val="14"/>
      <w:szCs w:val="14"/>
    </w:rPr>
  </w:style>
  <w:style w:type="character" w:customStyle="1" w:styleId="88">
    <w:name w:val="样式4 Char"/>
    <w:link w:val="89"/>
    <w:qFormat/>
    <w:uiPriority w:val="0"/>
    <w:rPr>
      <w:rFonts w:ascii="Arial" w:hAnsi="Arial" w:eastAsia="宋体"/>
      <w:b/>
      <w:sz w:val="24"/>
      <w:szCs w:val="24"/>
    </w:rPr>
  </w:style>
  <w:style w:type="paragraph" w:customStyle="1" w:styleId="89">
    <w:name w:val="样式4"/>
    <w:basedOn w:val="11"/>
    <w:link w:val="88"/>
    <w:qFormat/>
    <w:uiPriority w:val="0"/>
    <w:rPr>
      <w:rFonts w:cstheme="minorBidi"/>
      <w:sz w:val="24"/>
      <w:szCs w:val="24"/>
    </w:rPr>
  </w:style>
  <w:style w:type="character" w:customStyle="1" w:styleId="90">
    <w:name w:val="批注文字 Char"/>
    <w:qFormat/>
    <w:locked/>
    <w:uiPriority w:val="0"/>
    <w:rPr>
      <w:kern w:val="2"/>
      <w:sz w:val="21"/>
    </w:rPr>
  </w:style>
  <w:style w:type="character" w:customStyle="1" w:styleId="91">
    <w:name w:val="正文内容 Char"/>
    <w:link w:val="92"/>
    <w:qFormat/>
    <w:uiPriority w:val="0"/>
    <w:rPr>
      <w:rFonts w:eastAsia="仿宋_GB2312"/>
      <w:sz w:val="24"/>
      <w:szCs w:val="24"/>
    </w:rPr>
  </w:style>
  <w:style w:type="paragraph" w:customStyle="1" w:styleId="92">
    <w:name w:val="正文内容"/>
    <w:basedOn w:val="1"/>
    <w:link w:val="91"/>
    <w:qFormat/>
    <w:uiPriority w:val="0"/>
    <w:pPr>
      <w:jc w:val="center"/>
    </w:pPr>
    <w:rPr>
      <w:rFonts w:eastAsia="仿宋_GB2312" w:asciiTheme="minorHAnsi" w:hAnsiTheme="minorHAnsi" w:cstheme="minorBidi"/>
      <w:sz w:val="24"/>
      <w:szCs w:val="24"/>
    </w:rPr>
  </w:style>
  <w:style w:type="character" w:customStyle="1" w:styleId="93">
    <w:name w:val="正文文本 3 Char"/>
    <w:link w:val="23"/>
    <w:qFormat/>
    <w:uiPriority w:val="0"/>
    <w:rPr>
      <w:rFonts w:ascii="宋体"/>
      <w:sz w:val="24"/>
    </w:rPr>
  </w:style>
  <w:style w:type="character" w:customStyle="1" w:styleId="94">
    <w:name w:val="正文缩进 Char"/>
    <w:link w:val="18"/>
    <w:qFormat/>
    <w:uiPriority w:val="0"/>
    <w:rPr>
      <w:rFonts w:eastAsia="楷体_GB2312"/>
      <w:sz w:val="24"/>
    </w:rPr>
  </w:style>
  <w:style w:type="character" w:customStyle="1" w:styleId="95">
    <w:name w:val="font161"/>
    <w:qFormat/>
    <w:uiPriority w:val="0"/>
    <w:rPr>
      <w:b/>
      <w:bCs/>
      <w:sz w:val="32"/>
      <w:szCs w:val="32"/>
    </w:rPr>
  </w:style>
  <w:style w:type="character" w:customStyle="1" w:styleId="96">
    <w:name w:val="正文文本 Char"/>
    <w:link w:val="3"/>
    <w:qFormat/>
    <w:uiPriority w:val="0"/>
    <w:rPr>
      <w:rFonts w:eastAsia="楷体_GB2312"/>
      <w:bCs/>
      <w:sz w:val="32"/>
      <w:szCs w:val="24"/>
    </w:rPr>
  </w:style>
  <w:style w:type="character" w:customStyle="1" w:styleId="97">
    <w:name w:val="纯文本 Char Char"/>
    <w:qFormat/>
    <w:locked/>
    <w:uiPriority w:val="0"/>
    <w:rPr>
      <w:rFonts w:ascii="Courier New" w:hAnsi="Courier New" w:eastAsia="宋体"/>
      <w:kern w:val="2"/>
      <w:sz w:val="21"/>
      <w:lang w:val="en-US" w:eastAsia="zh-CN" w:bidi="ar-SA"/>
    </w:rPr>
  </w:style>
  <w:style w:type="character" w:customStyle="1" w:styleId="98">
    <w:name w:val="HTML 预设格式 Char"/>
    <w:link w:val="49"/>
    <w:qFormat/>
    <w:uiPriority w:val="99"/>
    <w:rPr>
      <w:rFonts w:ascii="Arial" w:hAnsi="Arial" w:cs="Arial"/>
      <w:szCs w:val="21"/>
    </w:rPr>
  </w:style>
  <w:style w:type="character" w:customStyle="1" w:styleId="99">
    <w:name w:val="样式2 Char"/>
    <w:link w:val="100"/>
    <w:qFormat/>
    <w:uiPriority w:val="0"/>
    <w:rPr>
      <w:b/>
      <w:sz w:val="24"/>
    </w:rPr>
  </w:style>
  <w:style w:type="paragraph" w:customStyle="1" w:styleId="100">
    <w:name w:val="样式2"/>
    <w:basedOn w:val="9"/>
    <w:link w:val="99"/>
    <w:qFormat/>
    <w:uiPriority w:val="0"/>
    <w:pPr>
      <w:spacing w:line="372" w:lineRule="auto"/>
    </w:pPr>
    <w:rPr>
      <w:rFonts w:asciiTheme="minorHAnsi" w:hAnsiTheme="minorHAnsi" w:eastAsiaTheme="minorEastAsia" w:cstheme="minorBidi"/>
      <w:sz w:val="24"/>
      <w:szCs w:val="22"/>
    </w:rPr>
  </w:style>
  <w:style w:type="character" w:customStyle="1" w:styleId="101">
    <w:name w:val="批注框文本 Char"/>
    <w:link w:val="34"/>
    <w:qFormat/>
    <w:uiPriority w:val="99"/>
    <w:rPr>
      <w:sz w:val="18"/>
      <w:szCs w:val="18"/>
    </w:rPr>
  </w:style>
  <w:style w:type="character" w:customStyle="1" w:styleId="102">
    <w:name w:val="正文文本 2 Char"/>
    <w:link w:val="4"/>
    <w:qFormat/>
    <w:uiPriority w:val="0"/>
    <w:rPr>
      <w:szCs w:val="24"/>
    </w:rPr>
  </w:style>
  <w:style w:type="character" w:customStyle="1" w:styleId="103">
    <w:name w:val="Char Char3"/>
    <w:qFormat/>
    <w:locked/>
    <w:uiPriority w:val="0"/>
    <w:rPr>
      <w:rFonts w:eastAsia="宋体"/>
      <w:b/>
      <w:bCs/>
      <w:kern w:val="44"/>
      <w:sz w:val="32"/>
      <w:szCs w:val="44"/>
      <w:lang w:val="en-US" w:eastAsia="zh-CN" w:bidi="ar-SA"/>
    </w:rPr>
  </w:style>
  <w:style w:type="character" w:customStyle="1" w:styleId="104">
    <w:name w:val="批注文字 Char1"/>
    <w:basedOn w:val="55"/>
    <w:link w:val="21"/>
    <w:semiHidden/>
    <w:qFormat/>
    <w:uiPriority w:val="99"/>
    <w:rPr>
      <w:rFonts w:ascii="Calibri" w:hAnsi="Calibri" w:eastAsia="宋体" w:cs="Times New Roman"/>
      <w:szCs w:val="20"/>
    </w:rPr>
  </w:style>
  <w:style w:type="character" w:customStyle="1" w:styleId="105">
    <w:name w:val="批注主题 Char1"/>
    <w:basedOn w:val="104"/>
    <w:link w:val="53"/>
    <w:semiHidden/>
    <w:qFormat/>
    <w:uiPriority w:val="99"/>
    <w:rPr>
      <w:b/>
      <w:bCs/>
    </w:rPr>
  </w:style>
  <w:style w:type="character" w:customStyle="1" w:styleId="106">
    <w:name w:val="HTML 预设格式 Char1"/>
    <w:basedOn w:val="55"/>
    <w:link w:val="49"/>
    <w:semiHidden/>
    <w:qFormat/>
    <w:uiPriority w:val="99"/>
    <w:rPr>
      <w:rFonts w:ascii="Courier New" w:hAnsi="Courier New" w:eastAsia="宋体" w:cs="Courier New"/>
      <w:sz w:val="20"/>
      <w:szCs w:val="20"/>
    </w:rPr>
  </w:style>
  <w:style w:type="character" w:customStyle="1" w:styleId="107">
    <w:name w:val="正文文本 2 Char1"/>
    <w:basedOn w:val="55"/>
    <w:link w:val="4"/>
    <w:semiHidden/>
    <w:qFormat/>
    <w:uiPriority w:val="99"/>
    <w:rPr>
      <w:rFonts w:ascii="Calibri" w:hAnsi="Calibri" w:eastAsia="宋体" w:cs="Times New Roman"/>
      <w:szCs w:val="20"/>
    </w:rPr>
  </w:style>
  <w:style w:type="character" w:customStyle="1" w:styleId="108">
    <w:name w:val="日期 Char"/>
    <w:basedOn w:val="55"/>
    <w:link w:val="32"/>
    <w:qFormat/>
    <w:uiPriority w:val="0"/>
    <w:rPr>
      <w:rFonts w:ascii="Calibri" w:hAnsi="Calibri" w:eastAsia="宋体" w:cs="Times New Roman"/>
      <w:sz w:val="28"/>
      <w:szCs w:val="20"/>
    </w:rPr>
  </w:style>
  <w:style w:type="character" w:customStyle="1" w:styleId="109">
    <w:name w:val="批注框文本 Char1"/>
    <w:basedOn w:val="55"/>
    <w:link w:val="34"/>
    <w:semiHidden/>
    <w:qFormat/>
    <w:uiPriority w:val="99"/>
    <w:rPr>
      <w:rFonts w:ascii="Calibri" w:hAnsi="Calibri" w:eastAsia="宋体" w:cs="Times New Roman"/>
      <w:sz w:val="18"/>
      <w:szCs w:val="18"/>
    </w:rPr>
  </w:style>
  <w:style w:type="character" w:customStyle="1" w:styleId="110">
    <w:name w:val="纯文本 Char2"/>
    <w:basedOn w:val="55"/>
    <w:link w:val="29"/>
    <w:semiHidden/>
    <w:qFormat/>
    <w:uiPriority w:val="99"/>
    <w:rPr>
      <w:rFonts w:ascii="宋体" w:hAnsi="Courier New" w:eastAsia="宋体" w:cs="Courier New"/>
      <w:szCs w:val="21"/>
    </w:rPr>
  </w:style>
  <w:style w:type="character" w:customStyle="1" w:styleId="111">
    <w:name w:val="正文文本 Char1"/>
    <w:basedOn w:val="55"/>
    <w:link w:val="3"/>
    <w:semiHidden/>
    <w:qFormat/>
    <w:uiPriority w:val="99"/>
    <w:rPr>
      <w:rFonts w:ascii="Calibri" w:hAnsi="Calibri" w:eastAsia="宋体" w:cs="Times New Roman"/>
      <w:szCs w:val="20"/>
    </w:rPr>
  </w:style>
  <w:style w:type="character" w:customStyle="1" w:styleId="112">
    <w:name w:val="文档结构图 Char"/>
    <w:basedOn w:val="55"/>
    <w:link w:val="20"/>
    <w:qFormat/>
    <w:uiPriority w:val="0"/>
    <w:rPr>
      <w:rFonts w:ascii="Calibri" w:hAnsi="Calibri" w:eastAsia="宋体" w:cs="Times New Roman"/>
      <w:szCs w:val="20"/>
      <w:shd w:val="clear" w:color="auto" w:fill="000080"/>
    </w:rPr>
  </w:style>
  <w:style w:type="character" w:customStyle="1" w:styleId="113">
    <w:name w:val="正文文本 3 Char1"/>
    <w:basedOn w:val="55"/>
    <w:link w:val="23"/>
    <w:semiHidden/>
    <w:qFormat/>
    <w:uiPriority w:val="99"/>
    <w:rPr>
      <w:rFonts w:ascii="Calibri" w:hAnsi="Calibri" w:eastAsia="宋体" w:cs="Times New Roman"/>
      <w:sz w:val="16"/>
      <w:szCs w:val="16"/>
    </w:rPr>
  </w:style>
  <w:style w:type="character" w:customStyle="1" w:styleId="114">
    <w:name w:val="正文文本缩进 2 Char1"/>
    <w:basedOn w:val="55"/>
    <w:link w:val="33"/>
    <w:semiHidden/>
    <w:qFormat/>
    <w:uiPriority w:val="99"/>
    <w:rPr>
      <w:rFonts w:ascii="Calibri" w:hAnsi="Calibri" w:eastAsia="宋体" w:cs="Times New Roman"/>
      <w:szCs w:val="20"/>
    </w:rPr>
  </w:style>
  <w:style w:type="character" w:customStyle="1" w:styleId="115">
    <w:name w:val="正文文本缩进 Char"/>
    <w:basedOn w:val="55"/>
    <w:link w:val="6"/>
    <w:qFormat/>
    <w:uiPriority w:val="0"/>
    <w:rPr>
      <w:rFonts w:ascii="Calibri" w:hAnsi="Calibri" w:eastAsia="宋体" w:cs="Times New Roman"/>
      <w:szCs w:val="20"/>
    </w:rPr>
  </w:style>
  <w:style w:type="character" w:customStyle="1" w:styleId="116">
    <w:name w:val="标题 Char1"/>
    <w:basedOn w:val="55"/>
    <w:link w:val="52"/>
    <w:qFormat/>
    <w:uiPriority w:val="10"/>
    <w:rPr>
      <w:rFonts w:eastAsia="宋体" w:asciiTheme="majorHAnsi" w:hAnsiTheme="majorHAnsi" w:cstheme="majorBidi"/>
      <w:b/>
      <w:bCs/>
      <w:sz w:val="32"/>
      <w:szCs w:val="32"/>
    </w:rPr>
  </w:style>
  <w:style w:type="character" w:customStyle="1" w:styleId="117">
    <w:name w:val="正文文本缩进 3 Char"/>
    <w:basedOn w:val="55"/>
    <w:link w:val="43"/>
    <w:qFormat/>
    <w:uiPriority w:val="0"/>
    <w:rPr>
      <w:rFonts w:ascii="宋体" w:hAnsi="宋体" w:eastAsia="宋体" w:cs="Times New Roman"/>
      <w:szCs w:val="20"/>
    </w:rPr>
  </w:style>
  <w:style w:type="paragraph" w:customStyle="1" w:styleId="118">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9">
    <w:name w:val="t_black_12_b"/>
    <w:basedOn w:val="1"/>
    <w:qFormat/>
    <w:uiPriority w:val="0"/>
    <w:pPr>
      <w:widowControl/>
      <w:jc w:val="left"/>
    </w:pPr>
    <w:rPr>
      <w:rFonts w:ascii="宋体" w:hAnsi="宋体" w:cs="宋体"/>
      <w:b/>
      <w:bCs/>
      <w:color w:val="212121"/>
      <w:kern w:val="0"/>
      <w:sz w:val="9"/>
      <w:szCs w:val="9"/>
    </w:rPr>
  </w:style>
  <w:style w:type="paragraph" w:customStyle="1" w:styleId="120">
    <w:name w:val="表格文字"/>
    <w:basedOn w:val="1"/>
    <w:qFormat/>
    <w:uiPriority w:val="0"/>
    <w:pPr>
      <w:adjustRightInd w:val="0"/>
      <w:spacing w:line="420" w:lineRule="atLeast"/>
      <w:jc w:val="left"/>
      <w:textAlignment w:val="baseline"/>
    </w:pPr>
    <w:rPr>
      <w:kern w:val="0"/>
    </w:rPr>
  </w:style>
  <w:style w:type="paragraph" w:customStyle="1" w:styleId="121">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22">
    <w:name w:val="样式 三号 首行缩进:  2 字符"/>
    <w:basedOn w:val="1"/>
    <w:qFormat/>
    <w:uiPriority w:val="0"/>
    <w:pPr>
      <w:ind w:firstLine="640" w:firstLineChars="200"/>
    </w:pPr>
    <w:rPr>
      <w:rFonts w:eastAsia="仿宋_GB2312" w:cs="宋体"/>
      <w:sz w:val="30"/>
    </w:rPr>
  </w:style>
  <w:style w:type="paragraph" w:customStyle="1" w:styleId="123">
    <w:name w:val="默认段落字体 Para Char Char Char Char"/>
    <w:basedOn w:val="1"/>
    <w:qFormat/>
    <w:uiPriority w:val="0"/>
    <w:pPr>
      <w:snapToGrid w:val="0"/>
      <w:spacing w:line="360" w:lineRule="auto"/>
      <w:ind w:firstLine="200" w:firstLineChars="200"/>
    </w:pPr>
    <w:rPr>
      <w:rFonts w:eastAsia="仿宋_GB2312"/>
      <w:sz w:val="24"/>
      <w:szCs w:val="24"/>
    </w:rPr>
  </w:style>
  <w:style w:type="paragraph" w:customStyle="1" w:styleId="124">
    <w:name w:val="Char Char Char"/>
    <w:basedOn w:val="1"/>
    <w:qFormat/>
    <w:uiPriority w:val="0"/>
    <w:pPr>
      <w:widowControl/>
      <w:spacing w:after="160" w:line="240" w:lineRule="exact"/>
      <w:jc w:val="left"/>
    </w:pPr>
    <w:rPr>
      <w:rFonts w:ascii="Verdana" w:hAnsi="Verdana"/>
      <w:kern w:val="0"/>
      <w:sz w:val="20"/>
      <w:lang w:eastAsia="en-US"/>
    </w:rPr>
  </w:style>
  <w:style w:type="paragraph" w:customStyle="1" w:styleId="125">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126">
    <w:name w:val="表格2"/>
    <w:basedOn w:val="1"/>
    <w:qFormat/>
    <w:uiPriority w:val="0"/>
    <w:pPr>
      <w:adjustRightInd w:val="0"/>
      <w:spacing w:before="60" w:after="60"/>
      <w:jc w:val="center"/>
    </w:pPr>
    <w:rPr>
      <w:rFonts w:ascii="宋体"/>
      <w:color w:val="000000"/>
      <w:kern w:val="0"/>
      <w:sz w:val="24"/>
    </w:rPr>
  </w:style>
  <w:style w:type="paragraph" w:customStyle="1" w:styleId="127">
    <w:name w:val="Char"/>
    <w:basedOn w:val="1"/>
    <w:qFormat/>
    <w:uiPriority w:val="0"/>
    <w:pPr>
      <w:snapToGrid w:val="0"/>
      <w:spacing w:line="360" w:lineRule="auto"/>
      <w:ind w:firstLine="200" w:firstLineChars="200"/>
    </w:pPr>
    <w:rPr>
      <w:rFonts w:eastAsia="仿宋_GB2312"/>
      <w:sz w:val="24"/>
    </w:rPr>
  </w:style>
  <w:style w:type="paragraph" w:customStyle="1" w:styleId="128">
    <w:name w:val="标题2"/>
    <w:basedOn w:val="8"/>
    <w:next w:val="1"/>
    <w:qFormat/>
    <w:uiPriority w:val="0"/>
    <w:pPr>
      <w:snapToGrid w:val="0"/>
      <w:spacing w:before="120" w:after="120" w:line="240" w:lineRule="auto"/>
      <w:jc w:val="left"/>
    </w:pPr>
    <w:rPr>
      <w:b w:val="0"/>
      <w:sz w:val="21"/>
      <w:szCs w:val="21"/>
    </w:rPr>
  </w:style>
  <w:style w:type="paragraph" w:customStyle="1" w:styleId="12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30">
    <w:name w:val="样式 标题 3 + (中文) 黑体 小四 非加粗 段前: 7.8 磅 段后: 0 磅 行距: 固定值 20 磅"/>
    <w:basedOn w:val="9"/>
    <w:qFormat/>
    <w:uiPriority w:val="0"/>
    <w:pPr>
      <w:spacing w:before="0" w:after="0" w:line="400" w:lineRule="exact"/>
    </w:pPr>
    <w:rPr>
      <w:rFonts w:eastAsia="黑体" w:cs="宋体"/>
      <w:b w:val="0"/>
      <w:sz w:val="24"/>
    </w:rPr>
  </w:style>
  <w:style w:type="paragraph" w:customStyle="1" w:styleId="131">
    <w:name w:val="样式3"/>
    <w:basedOn w:val="29"/>
    <w:qFormat/>
    <w:uiPriority w:val="0"/>
    <w:pPr>
      <w:spacing w:line="0" w:lineRule="atLeast"/>
      <w:outlineLvl w:val="0"/>
    </w:pPr>
    <w:rPr>
      <w:sz w:val="28"/>
    </w:rPr>
  </w:style>
  <w:style w:type="paragraph" w:customStyle="1" w:styleId="132">
    <w:name w:val="!正文缩进_alt7"/>
    <w:basedOn w:val="1"/>
    <w:qFormat/>
    <w:uiPriority w:val="0"/>
    <w:pPr>
      <w:ind w:firstLine="200"/>
      <w:jc w:val="center"/>
    </w:pPr>
    <w:rPr>
      <w:rFonts w:ascii="华文新魏" w:eastAsia="华文新魏"/>
      <w:b/>
      <w:bCs/>
      <w:spacing w:val="6"/>
      <w:sz w:val="24"/>
      <w:szCs w:val="90"/>
    </w:rPr>
  </w:style>
  <w:style w:type="paragraph" w:customStyle="1" w:styleId="133">
    <w:name w:val="Default"/>
    <w:qFormat/>
    <w:uiPriority w:val="0"/>
    <w:pPr>
      <w:widowControl w:val="0"/>
      <w:autoSpaceDE w:val="0"/>
      <w:autoSpaceDN w:val="0"/>
      <w:adjustRightInd w:val="0"/>
    </w:pPr>
    <w:rPr>
      <w:rFonts w:ascii="宋体" w:hAnsi="Calibri" w:eastAsia="宋体" w:cs="Times New Roman"/>
      <w:color w:val="000000"/>
      <w:kern w:val="0"/>
      <w:sz w:val="24"/>
      <w:szCs w:val="20"/>
      <w:lang w:val="en-US" w:eastAsia="zh-CN" w:bidi="ar-SA"/>
    </w:rPr>
  </w:style>
  <w:style w:type="paragraph" w:customStyle="1" w:styleId="134">
    <w:name w:val="样式10"/>
    <w:basedOn w:val="33"/>
    <w:qFormat/>
    <w:uiPriority w:val="0"/>
    <w:pPr>
      <w:spacing w:after="0" w:line="360" w:lineRule="auto"/>
      <w:ind w:left="0" w:leftChars="0" w:firstLine="200" w:firstLineChars="200"/>
    </w:pPr>
    <w:rPr>
      <w:rFonts w:hAnsi="宋体" w:eastAsia="仿宋_GB2312"/>
      <w:bCs/>
      <w:sz w:val="24"/>
      <w:szCs w:val="28"/>
    </w:rPr>
  </w:style>
  <w:style w:type="paragraph" w:customStyle="1" w:styleId="135">
    <w:name w:val="Char Char Char Char"/>
    <w:basedOn w:val="1"/>
    <w:qFormat/>
    <w:uiPriority w:val="0"/>
    <w:pPr>
      <w:snapToGrid w:val="0"/>
      <w:spacing w:line="360" w:lineRule="auto"/>
      <w:ind w:firstLine="200" w:firstLineChars="200"/>
    </w:pPr>
    <w:rPr>
      <w:rFonts w:eastAsia="仿宋_GB2312"/>
      <w:sz w:val="28"/>
      <w:szCs w:val="24"/>
    </w:rPr>
  </w:style>
  <w:style w:type="paragraph" w:customStyle="1" w:styleId="136">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1"/>
    <w:basedOn w:val="1"/>
    <w:next w:val="1"/>
    <w:qFormat/>
    <w:uiPriority w:val="0"/>
    <w:rPr>
      <w:szCs w:val="24"/>
    </w:rPr>
  </w:style>
  <w:style w:type="paragraph" w:customStyle="1" w:styleId="138">
    <w:name w:val="表格"/>
    <w:basedOn w:val="1"/>
    <w:qFormat/>
    <w:uiPriority w:val="0"/>
    <w:pPr>
      <w:jc w:val="center"/>
      <w:textAlignment w:val="center"/>
    </w:pPr>
    <w:rPr>
      <w:rFonts w:ascii="华文细黑" w:hAnsi="华文细黑"/>
      <w:kern w:val="0"/>
    </w:rPr>
  </w:style>
  <w:style w:type="paragraph" w:customStyle="1" w:styleId="139">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Char Char Char Char Char Char Char"/>
    <w:basedOn w:val="1"/>
    <w:qFormat/>
    <w:uiPriority w:val="0"/>
    <w:rPr>
      <w:szCs w:val="21"/>
    </w:rPr>
  </w:style>
  <w:style w:type="paragraph" w:customStyle="1" w:styleId="141">
    <w:name w:val="样式1"/>
    <w:basedOn w:val="1"/>
    <w:next w:val="11"/>
    <w:qFormat/>
    <w:uiPriority w:val="0"/>
    <w:pPr>
      <w:spacing w:line="360" w:lineRule="auto"/>
      <w:ind w:firstLine="420" w:firstLineChars="200"/>
    </w:pPr>
    <w:rPr>
      <w:rFonts w:ascii="宋体" w:hAnsi="宋体"/>
      <w:szCs w:val="21"/>
    </w:rPr>
  </w:style>
  <w:style w:type="paragraph" w:customStyle="1" w:styleId="142">
    <w:name w:val="Char11"/>
    <w:basedOn w:val="1"/>
    <w:qFormat/>
    <w:uiPriority w:val="0"/>
    <w:pPr>
      <w:snapToGrid w:val="0"/>
      <w:spacing w:line="360" w:lineRule="auto"/>
      <w:ind w:firstLine="200" w:firstLineChars="200"/>
    </w:pPr>
    <w:rPr>
      <w:rFonts w:eastAsia="仿宋_GB2312"/>
      <w:sz w:val="24"/>
      <w:szCs w:val="24"/>
    </w:rPr>
  </w:style>
  <w:style w:type="paragraph" w:customStyle="1" w:styleId="143">
    <w:name w:val="5"/>
    <w:basedOn w:val="1"/>
    <w:next w:val="29"/>
    <w:qFormat/>
    <w:uiPriority w:val="0"/>
    <w:pPr>
      <w:tabs>
        <w:tab w:val="left" w:pos="5890"/>
        <w:tab w:val="left" w:leader="middleDot" w:pos="8108"/>
      </w:tabs>
      <w:spacing w:line="223" w:lineRule="auto"/>
      <w:ind w:firstLine="380"/>
    </w:pPr>
    <w:rPr>
      <w:rFonts w:ascii="宋体" w:hAnsi="Courier New"/>
      <w:color w:val="000000"/>
      <w:kern w:val="0"/>
    </w:rPr>
  </w:style>
  <w:style w:type="paragraph" w:customStyle="1" w:styleId="144">
    <w:name w:val="Char Char Char Char Char Char Char Char Char Char Char Char Char Char Char Char Char Char Char Char Char Char"/>
    <w:basedOn w:val="1"/>
    <w:qFormat/>
    <w:uiPriority w:val="0"/>
    <w:pPr>
      <w:adjustRightInd w:val="0"/>
      <w:spacing w:line="360" w:lineRule="atLeast"/>
      <w:textAlignment w:val="baseline"/>
    </w:pPr>
    <w:rPr>
      <w:rFonts w:ascii="Tahoma" w:hAnsi="Tahoma"/>
      <w:sz w:val="24"/>
    </w:rPr>
  </w:style>
  <w:style w:type="paragraph" w:customStyle="1" w:styleId="145">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sz w:val="32"/>
    </w:rPr>
  </w:style>
  <w:style w:type="paragraph" w:customStyle="1" w:styleId="146">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sz w:val="28"/>
    </w:rPr>
  </w:style>
  <w:style w:type="paragraph" w:customStyle="1" w:styleId="147">
    <w:name w:val="标题 4 New New"/>
    <w:basedOn w:val="139"/>
    <w:next w:val="139"/>
    <w:qFormat/>
    <w:uiPriority w:val="0"/>
    <w:pPr>
      <w:keepNext/>
      <w:keepLines/>
      <w:spacing w:before="280" w:after="290" w:line="372" w:lineRule="auto"/>
      <w:jc w:val="center"/>
      <w:outlineLvl w:val="3"/>
    </w:pPr>
    <w:rPr>
      <w:rFonts w:ascii="Arial" w:hAnsi="Arial" w:eastAsia="黑体"/>
      <w:b/>
      <w:bCs/>
      <w:sz w:val="28"/>
      <w:szCs w:val="28"/>
    </w:rPr>
  </w:style>
  <w:style w:type="paragraph" w:customStyle="1" w:styleId="148">
    <w:name w:val="Char1"/>
    <w:basedOn w:val="1"/>
    <w:qFormat/>
    <w:uiPriority w:val="0"/>
    <w:pPr>
      <w:widowControl/>
      <w:spacing w:after="160" w:line="240" w:lineRule="exact"/>
      <w:jc w:val="left"/>
    </w:pPr>
    <w:rPr>
      <w:rFonts w:ascii="宋体" w:hAnsi="宋体"/>
      <w:kern w:val="0"/>
      <w:sz w:val="20"/>
      <w:lang w:eastAsia="en-US"/>
    </w:rPr>
  </w:style>
  <w:style w:type="paragraph" w:customStyle="1" w:styleId="149">
    <w:name w:val="TOC Heading"/>
    <w:basedOn w:val="7"/>
    <w:next w:val="1"/>
    <w:qFormat/>
    <w:uiPriority w:val="39"/>
    <w:pPr>
      <w:widowControl/>
      <w:spacing w:before="480" w:after="0" w:line="276" w:lineRule="auto"/>
      <w:jc w:val="left"/>
      <w:outlineLvl w:val="9"/>
    </w:pPr>
    <w:rPr>
      <w:rFonts w:ascii="Cambria" w:hAnsi="Cambria"/>
      <w:bCs/>
      <w:color w:val="365F91"/>
      <w:kern w:val="0"/>
      <w:szCs w:val="28"/>
    </w:rPr>
  </w:style>
  <w:style w:type="paragraph" w:customStyle="1" w:styleId="150">
    <w:name w:val="默认段落字体 Para Char Char Char Char Char Char Char Char Char Char Char Char2 Char Char Char1 Char"/>
    <w:basedOn w:val="1"/>
    <w:qFormat/>
    <w:uiPriority w:val="0"/>
    <w:pPr>
      <w:snapToGrid w:val="0"/>
      <w:spacing w:line="360" w:lineRule="auto"/>
      <w:ind w:firstLine="200" w:firstLineChars="200"/>
    </w:pPr>
    <w:rPr>
      <w:rFonts w:eastAsia="仿宋_GB2312"/>
      <w:sz w:val="24"/>
      <w:szCs w:val="24"/>
    </w:rPr>
  </w:style>
  <w:style w:type="paragraph" w:customStyle="1" w:styleId="15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Char12"/>
    <w:basedOn w:val="1"/>
    <w:qFormat/>
    <w:uiPriority w:val="0"/>
    <w:rPr>
      <w:rFonts w:ascii="Tahoma" w:hAnsi="Tahoma"/>
      <w:sz w:val="24"/>
    </w:rPr>
  </w:style>
  <w:style w:type="paragraph" w:customStyle="1" w:styleId="153">
    <w:name w:val="0"/>
    <w:basedOn w:val="1"/>
    <w:qFormat/>
    <w:uiPriority w:val="0"/>
    <w:pPr>
      <w:widowControl/>
      <w:snapToGrid w:val="0"/>
    </w:pPr>
    <w:rPr>
      <w:kern w:val="0"/>
    </w:rPr>
  </w:style>
  <w:style w:type="paragraph" w:customStyle="1" w:styleId="154">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55">
    <w:name w:val="Body Text First Indent1"/>
    <w:basedOn w:val="3"/>
    <w:qFormat/>
    <w:uiPriority w:val="0"/>
    <w:pPr>
      <w:widowControl/>
      <w:ind w:firstLine="420"/>
    </w:pPr>
    <w:rPr>
      <w:rFonts w:ascii="Times New Roman" w:hAnsi="Times New Roman" w:eastAsia="宋体"/>
      <w:bCs w:val="0"/>
      <w:kern w:val="0"/>
      <w:szCs w:val="32"/>
    </w:rPr>
  </w:style>
  <w:style w:type="paragraph" w:customStyle="1" w:styleId="156">
    <w:name w:val="p0"/>
    <w:basedOn w:val="1"/>
    <w:qFormat/>
    <w:uiPriority w:val="0"/>
    <w:pPr>
      <w:widowControl/>
    </w:pPr>
    <w:rPr>
      <w:rFonts w:ascii="宋体" w:hAnsi="宋体"/>
      <w:kern w:val="0"/>
      <w:sz w:val="24"/>
      <w:szCs w:val="24"/>
    </w:rPr>
  </w:style>
  <w:style w:type="paragraph" w:styleId="157">
    <w:name w:val="List Paragraph"/>
    <w:basedOn w:val="1"/>
    <w:qFormat/>
    <w:uiPriority w:val="34"/>
    <w:pPr>
      <w:ind w:firstLine="420" w:firstLineChars="200"/>
    </w:pPr>
  </w:style>
  <w:style w:type="paragraph" w:customStyle="1" w:styleId="158">
    <w:name w:val="无间隔1"/>
    <w:basedOn w:val="1"/>
    <w:qFormat/>
    <w:uiPriority w:val="1"/>
    <w:pPr>
      <w:spacing w:line="400" w:lineRule="exact"/>
    </w:pPr>
    <w:rPr>
      <w:sz w:val="24"/>
    </w:rPr>
  </w:style>
  <w:style w:type="paragraph" w:customStyle="1" w:styleId="15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6ad198-1c5f-4042-931d-16104d7d3dc7}"/>
        <w:style w:val=""/>
        <w:category>
          <w:name w:val="常规"/>
          <w:gallery w:val="placeholder"/>
        </w:category>
        <w:types>
          <w:type w:val="bbPlcHdr"/>
        </w:types>
        <w:behaviors>
          <w:behavior w:val="content"/>
        </w:behaviors>
        <w:description w:val=""/>
        <w:guid w:val="{436ad198-1c5f-4042-931d-16104d7d3dc7}"/>
      </w:docPartPr>
      <w:docPartBody>
        <w:p>
          <w:r>
            <w:rPr>
              <w:color w:val="808080"/>
            </w:rPr>
            <w:t>单击此处输入文字。</w:t>
          </w:r>
        </w:p>
      </w:docPartBody>
    </w:docPart>
    <w:docPart>
      <w:docPartPr>
        <w:name w:val="{cbee9559-abe0-41d7-935c-4a1f2fa2a139}"/>
        <w:style w:val=""/>
        <w:category>
          <w:name w:val="常规"/>
          <w:gallery w:val="placeholder"/>
        </w:category>
        <w:types>
          <w:type w:val="bbPlcHdr"/>
        </w:types>
        <w:behaviors>
          <w:behavior w:val="content"/>
        </w:behaviors>
        <w:description w:val=""/>
        <w:guid w:val="{cbee9559-abe0-41d7-935c-4a1f2fa2a139}"/>
      </w:docPartPr>
      <w:docPartBody>
        <w:p>
          <w:r>
            <w:rPr>
              <w:color w:val="808080"/>
            </w:rPr>
            <w:t>单击此处输入文字。</w:t>
          </w:r>
        </w:p>
      </w:docPartBody>
    </w:docPart>
    <w:docPart>
      <w:docPartPr>
        <w:name w:val="{1aaefb56-4913-4392-83b8-d5b0b5732a06}"/>
        <w:style w:val=""/>
        <w:category>
          <w:name w:val="常规"/>
          <w:gallery w:val="placeholder"/>
        </w:category>
        <w:types>
          <w:type w:val="bbPlcHdr"/>
        </w:types>
        <w:behaviors>
          <w:behavior w:val="content"/>
        </w:behaviors>
        <w:description w:val=""/>
        <w:guid w:val="{1aaefb56-4913-4392-83b8-d5b0b5732a06}"/>
      </w:docPartPr>
      <w:docPartBody>
        <w:p>
          <w:r>
            <w:rPr>
              <w:color w:val="808080"/>
            </w:rPr>
            <w:t>单击此处输入文字。</w:t>
          </w:r>
        </w:p>
      </w:docPartBody>
    </w:docPart>
    <w:docPart>
      <w:docPartPr>
        <w:name w:val="{1af5f008-c097-4934-930e-d9e6d53b4804}"/>
        <w:style w:val=""/>
        <w:category>
          <w:name w:val="常规"/>
          <w:gallery w:val="placeholder"/>
        </w:category>
        <w:types>
          <w:type w:val="bbPlcHdr"/>
        </w:types>
        <w:behaviors>
          <w:behavior w:val="content"/>
        </w:behaviors>
        <w:description w:val=""/>
        <w:guid w:val="{1af5f008-c097-4934-930e-d9e6d53b4804}"/>
      </w:docPartPr>
      <w:docPartBody>
        <w:p>
          <w:r>
            <w:rPr>
              <w:color w:val="808080"/>
            </w:rPr>
            <w:t>单击此处输入文字。</w:t>
          </w:r>
        </w:p>
      </w:docPartBody>
    </w:docPart>
    <w:docPart>
      <w:docPartPr>
        <w:name w:val="{3e2ec74e-027d-4e9a-9683-7235c1662777}"/>
        <w:style w:val=""/>
        <w:category>
          <w:name w:val="常规"/>
          <w:gallery w:val="placeholder"/>
        </w:category>
        <w:types>
          <w:type w:val="bbPlcHdr"/>
        </w:types>
        <w:behaviors>
          <w:behavior w:val="content"/>
        </w:behaviors>
        <w:description w:val=""/>
        <w:guid w:val="{3e2ec74e-027d-4e9a-9683-7235c1662777}"/>
      </w:docPartPr>
      <w:docPartBody>
        <w:p>
          <w:r>
            <w:rPr>
              <w:color w:val="808080"/>
            </w:rPr>
            <w:t>单击此处输入文字。</w:t>
          </w:r>
        </w:p>
      </w:docPartBody>
    </w:docPart>
    <w:docPart>
      <w:docPartPr>
        <w:name w:val="{be4a790a-4928-44c9-ba9b-0aa1fd46ab39}"/>
        <w:style w:val=""/>
        <w:category>
          <w:name w:val="常规"/>
          <w:gallery w:val="placeholder"/>
        </w:category>
        <w:types>
          <w:type w:val="bbPlcHdr"/>
        </w:types>
        <w:behaviors>
          <w:behavior w:val="content"/>
        </w:behaviors>
        <w:description w:val=""/>
        <w:guid w:val="{be4a790a-4928-44c9-ba9b-0aa1fd46ab39}"/>
      </w:docPartPr>
      <w:docPartBody>
        <w:p>
          <w:r>
            <w:rPr>
              <w:color w:val="808080"/>
            </w:rPr>
            <w:t>单击此处输入文字。</w:t>
          </w:r>
        </w:p>
      </w:docPartBody>
    </w:docPart>
    <w:docPart>
      <w:docPartPr>
        <w:name w:val="{ae437dc9-61ec-4707-bd6e-b9ec0b639622}"/>
        <w:style w:val=""/>
        <w:category>
          <w:name w:val="常规"/>
          <w:gallery w:val="placeholder"/>
        </w:category>
        <w:types>
          <w:type w:val="bbPlcHdr"/>
        </w:types>
        <w:behaviors>
          <w:behavior w:val="content"/>
        </w:behaviors>
        <w:description w:val=""/>
        <w:guid w:val="{ae437dc9-61ec-4707-bd6e-b9ec0b639622}"/>
      </w:docPartPr>
      <w:docPartBody>
        <w:p>
          <w:r>
            <w:rPr>
              <w:color w:val="808080"/>
            </w:rPr>
            <w:t>单击此处输入文字。</w:t>
          </w:r>
        </w:p>
      </w:docPartBody>
    </w:docPart>
    <w:docPart>
      <w:docPartPr>
        <w:name w:val="{32c404d0-1740-411f-920f-08fd9bd7ae37}"/>
        <w:style w:val=""/>
        <w:category>
          <w:name w:val="常规"/>
          <w:gallery w:val="placeholder"/>
        </w:category>
        <w:types>
          <w:type w:val="bbPlcHdr"/>
        </w:types>
        <w:behaviors>
          <w:behavior w:val="content"/>
        </w:behaviors>
        <w:description w:val=""/>
        <w:guid w:val="{32c404d0-1740-411f-920f-08fd9bd7ae37}"/>
      </w:docPartPr>
      <w:docPartBody>
        <w:p>
          <w:r>
            <w:rPr>
              <w:color w:val="808080"/>
            </w:rPr>
            <w:t>单击此处输入文字。</w:t>
          </w:r>
        </w:p>
      </w:docPartBody>
    </w:docPart>
    <w:docPart>
      <w:docPartPr>
        <w:name w:val="{72394d37-376a-45d9-b7ec-c54aa9c15d84}"/>
        <w:style w:val=""/>
        <w:category>
          <w:name w:val="常规"/>
          <w:gallery w:val="placeholder"/>
        </w:category>
        <w:types>
          <w:type w:val="bbPlcHdr"/>
        </w:types>
        <w:behaviors>
          <w:behavior w:val="content"/>
        </w:behaviors>
        <w:description w:val=""/>
        <w:guid w:val="{72394d37-376a-45d9-b7ec-c54aa9c15d84}"/>
      </w:docPartPr>
      <w:docPartBody>
        <w:p>
          <w:r>
            <w:rPr>
              <w:color w:val="808080"/>
            </w:rPr>
            <w:t>单击此处输入文字。</w:t>
          </w:r>
        </w:p>
      </w:docPartBody>
    </w:docPart>
    <w:docPart>
      <w:docPartPr>
        <w:name w:val="{998e3a6b-be53-4bf0-855e-6ad53461de37}"/>
        <w:style w:val=""/>
        <w:category>
          <w:name w:val="常规"/>
          <w:gallery w:val="placeholder"/>
        </w:category>
        <w:types>
          <w:type w:val="bbPlcHdr"/>
        </w:types>
        <w:behaviors>
          <w:behavior w:val="content"/>
        </w:behaviors>
        <w:description w:val=""/>
        <w:guid w:val="{998e3a6b-be53-4bf0-855e-6ad53461de37}"/>
      </w:docPartPr>
      <w:docPartBody>
        <w:p>
          <w:r>
            <w:rPr>
              <w:color w:val="808080"/>
            </w:rPr>
            <w:t>单击此处输入文字。</w:t>
          </w:r>
        </w:p>
      </w:docPartBody>
    </w:docPart>
    <w:docPart>
      <w:docPartPr>
        <w:name w:val="{03fe4a0e-766c-498d-b6cb-e9968edaf87f}"/>
        <w:style w:val=""/>
        <w:category>
          <w:name w:val="常规"/>
          <w:gallery w:val="placeholder"/>
        </w:category>
        <w:types>
          <w:type w:val="bbPlcHdr"/>
        </w:types>
        <w:behaviors>
          <w:behavior w:val="content"/>
        </w:behaviors>
        <w:description w:val=""/>
        <w:guid w:val="{03fe4a0e-766c-498d-b6cb-e9968edaf87f}"/>
      </w:docPartPr>
      <w:docPartBody>
        <w:p>
          <w:r>
            <w:rPr>
              <w:color w:val="808080"/>
            </w:rPr>
            <w:t>单击此处输入文字。</w:t>
          </w:r>
        </w:p>
      </w:docPartBody>
    </w:docPart>
    <w:docPart>
      <w:docPartPr>
        <w:name w:val="{8561de82-1bf8-4e33-827b-d1ab57de63ea}"/>
        <w:style w:val=""/>
        <w:category>
          <w:name w:val="常规"/>
          <w:gallery w:val="placeholder"/>
        </w:category>
        <w:types>
          <w:type w:val="bbPlcHdr"/>
        </w:types>
        <w:behaviors>
          <w:behavior w:val="content"/>
        </w:behaviors>
        <w:description w:val=""/>
        <w:guid w:val="{8561de82-1bf8-4e33-827b-d1ab57de63ea}"/>
      </w:docPartPr>
      <w:docPartBody>
        <w:p>
          <w:r>
            <w:rPr>
              <w:color w:val="808080"/>
            </w:rPr>
            <w:t>单击此处输入文字。</w:t>
          </w:r>
        </w:p>
      </w:docPartBody>
    </w:docPart>
    <w:docPart>
      <w:docPartPr>
        <w:name w:val="{b1d1d37c-fe50-4abf-bcfb-f94f140256b0}"/>
        <w:style w:val=""/>
        <w:category>
          <w:name w:val="常规"/>
          <w:gallery w:val="placeholder"/>
        </w:category>
        <w:types>
          <w:type w:val="bbPlcHdr"/>
        </w:types>
        <w:behaviors>
          <w:behavior w:val="content"/>
        </w:behaviors>
        <w:description w:val=""/>
        <w:guid w:val="{b1d1d37c-fe50-4abf-bcfb-f94f140256b0}"/>
      </w:docPartPr>
      <w:docPartBody>
        <w:p>
          <w:r>
            <w:rPr>
              <w:color w:val="808080"/>
            </w:rPr>
            <w:t>单击此处输入文字。</w:t>
          </w:r>
        </w:p>
      </w:docPartBody>
    </w:docPart>
    <w:docPart>
      <w:docPartPr>
        <w:name w:val="{c0567a20-33dc-49e2-9ea3-5d24da8aa793}"/>
        <w:style w:val=""/>
        <w:category>
          <w:name w:val="常规"/>
          <w:gallery w:val="placeholder"/>
        </w:category>
        <w:types>
          <w:type w:val="bbPlcHdr"/>
        </w:types>
        <w:behaviors>
          <w:behavior w:val="content"/>
        </w:behaviors>
        <w:description w:val=""/>
        <w:guid w:val="{c0567a20-33dc-49e2-9ea3-5d24da8aa793}"/>
      </w:docPartPr>
      <w:docPartBody>
        <w:p>
          <w:r>
            <w:rPr>
              <w:color w:val="808080"/>
            </w:rPr>
            <w:t>单击此处输入文字。</w:t>
          </w:r>
        </w:p>
      </w:docPartBody>
    </w:docPart>
    <w:docPart>
      <w:docPartPr>
        <w:name w:val="{b217beb7-8d2b-4750-8103-2db62b61bc2c}"/>
        <w:style w:val=""/>
        <w:category>
          <w:name w:val="常规"/>
          <w:gallery w:val="placeholder"/>
        </w:category>
        <w:types>
          <w:type w:val="bbPlcHdr"/>
        </w:types>
        <w:behaviors>
          <w:behavior w:val="content"/>
        </w:behaviors>
        <w:description w:val=""/>
        <w:guid w:val="{b217beb7-8d2b-4750-8103-2db62b61bc2c}"/>
      </w:docPartPr>
      <w:docPartBody>
        <w:p>
          <w:r>
            <w:rPr>
              <w:color w:val="808080"/>
            </w:rPr>
            <w:t>单击此处输入文字。</w:t>
          </w:r>
        </w:p>
      </w:docPartBody>
    </w:docPart>
    <w:docPart>
      <w:docPartPr>
        <w:name w:val="{ecfcaef5-107f-40e9-ae16-1afd76d330af}"/>
        <w:style w:val=""/>
        <w:category>
          <w:name w:val="常规"/>
          <w:gallery w:val="placeholder"/>
        </w:category>
        <w:types>
          <w:type w:val="bbPlcHdr"/>
        </w:types>
        <w:behaviors>
          <w:behavior w:val="content"/>
        </w:behaviors>
        <w:description w:val=""/>
        <w:guid w:val="{ecfcaef5-107f-40e9-ae16-1afd76d330af}"/>
      </w:docPartPr>
      <w:docPartBody>
        <w:p>
          <w:r>
            <w:rPr>
              <w:color w:val="808080"/>
            </w:rPr>
            <w:t>单击此处输入文字。</w:t>
          </w:r>
        </w:p>
      </w:docPartBody>
    </w:docPart>
    <w:docPart>
      <w:docPartPr>
        <w:name w:val="{6d47787b-be93-42a8-bd1d-448cc625a4ec}"/>
        <w:style w:val=""/>
        <w:category>
          <w:name w:val="常规"/>
          <w:gallery w:val="placeholder"/>
        </w:category>
        <w:types>
          <w:type w:val="bbPlcHdr"/>
        </w:types>
        <w:behaviors>
          <w:behavior w:val="content"/>
        </w:behaviors>
        <w:description w:val=""/>
        <w:guid w:val="{6d47787b-be93-42a8-bd1d-448cc625a4e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25"/>
    <customShpInfo spid="_x0000_s1030"/>
    <customShpInfo spid="_x0000_s1032"/>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4046</Words>
  <Characters>23065</Characters>
  <Lines>192</Lines>
  <Paragraphs>54</Paragraphs>
  <TotalTime>0</TotalTime>
  <ScaleCrop>false</ScaleCrop>
  <LinksUpToDate>false</LinksUpToDate>
  <CharactersWithSpaces>27057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2019-07-23T03:24:00Z</dcterms:created>
  <dc:creator>祥符区公共资源交易中心:陈旭</dc:creator>
  <cp:lastModifiedBy>河南亿通招标代理有限公司:周俊霞</cp:lastModifiedBy>
  <cp:lastPrinted>2019-11-12T13:52:00Z</cp:lastPrinted>
  <dcterms:modified xsi:type="dcterms:W3CDTF">2019-11-21T02:12:10Z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